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0" w:type="auto"/>
        <w:tblInd w:w="3510" w:type="dxa"/>
        <w:tblLook w:val="04A0" w:firstRow="1" w:lastRow="0" w:firstColumn="1" w:lastColumn="0" w:noHBand="0" w:noVBand="1"/>
      </w:tblPr>
      <w:tblGrid>
        <w:gridCol w:w="5184"/>
      </w:tblGrid>
      <w:tr w:rsidR="00A02016" w:rsidRPr="00A02016"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A02016" w:rsidRDefault="00547C44" w:rsidP="00B91518">
            <w:pPr>
              <w:ind w:left="-108"/>
              <w:rPr>
                <w:rFonts w:ascii="Arial" w:hAnsi="Arial" w:cs="Arial"/>
                <w:color w:val="4F81BD" w:themeColor="accent1"/>
                <w:sz w:val="24"/>
                <w:szCs w:val="24"/>
                <w:lang w:val="es-MX"/>
              </w:rPr>
            </w:pPr>
            <w:r w:rsidRPr="00A02016">
              <w:rPr>
                <w:rFonts w:ascii="Arial" w:hAnsi="Arial" w:cs="Arial"/>
                <w:b/>
                <w:color w:val="4F81BD" w:themeColor="accent1"/>
                <w:sz w:val="24"/>
                <w:szCs w:val="24"/>
                <w:lang w:val="es-MX"/>
              </w:rPr>
              <w:t xml:space="preserve">RECURSO DE REVISIÓN: </w:t>
            </w:r>
            <w:r w:rsidR="007C6DA0" w:rsidRPr="00A02016">
              <w:rPr>
                <w:rFonts w:ascii="Arial" w:hAnsi="Arial" w:cs="Arial"/>
                <w:color w:val="4F81BD" w:themeColor="accent1"/>
                <w:sz w:val="24"/>
                <w:szCs w:val="24"/>
                <w:lang w:val="es-MX"/>
              </w:rPr>
              <w:t>RR-009/2018</w:t>
            </w:r>
            <w:r w:rsidRPr="00A02016">
              <w:rPr>
                <w:rFonts w:ascii="Arial" w:hAnsi="Arial" w:cs="Arial"/>
                <w:color w:val="4F81BD" w:themeColor="accent1"/>
                <w:sz w:val="24"/>
                <w:szCs w:val="24"/>
                <w:lang w:val="es-MX"/>
              </w:rPr>
              <w:t>-3</w:t>
            </w:r>
          </w:p>
        </w:tc>
      </w:tr>
      <w:tr w:rsidR="00A02016" w:rsidRPr="00A02016"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A02016" w:rsidRDefault="00547C44" w:rsidP="00B91518">
            <w:pPr>
              <w:ind w:left="-108"/>
              <w:rPr>
                <w:rFonts w:ascii="Arial" w:hAnsi="Arial" w:cs="Arial"/>
                <w:color w:val="4F81BD" w:themeColor="accent1"/>
                <w:sz w:val="24"/>
                <w:szCs w:val="24"/>
                <w:lang w:val="es-MX"/>
              </w:rPr>
            </w:pPr>
            <w:r w:rsidRPr="00A02016">
              <w:rPr>
                <w:rFonts w:ascii="Arial" w:hAnsi="Arial" w:cs="Arial"/>
                <w:b/>
                <w:color w:val="4F81BD" w:themeColor="accent1"/>
                <w:sz w:val="24"/>
                <w:szCs w:val="24"/>
                <w:lang w:val="es-MX"/>
              </w:rPr>
              <w:t>ENTE OBLIGADO:</w:t>
            </w:r>
            <w:r w:rsidRPr="00A02016">
              <w:rPr>
                <w:rFonts w:ascii="Arial" w:hAnsi="Arial" w:cs="Arial"/>
                <w:color w:val="4F81BD" w:themeColor="accent1"/>
                <w:sz w:val="24"/>
                <w:szCs w:val="24"/>
                <w:lang w:val="es-MX"/>
              </w:rPr>
              <w:t xml:space="preserve"> </w:t>
            </w:r>
            <w:r w:rsidR="00095AB3" w:rsidRPr="00A02016">
              <w:rPr>
                <w:rFonts w:ascii="Arial" w:hAnsi="Arial" w:cs="Arial"/>
                <w:color w:val="4F81BD" w:themeColor="accent1"/>
                <w:sz w:val="24"/>
                <w:szCs w:val="24"/>
                <w:lang w:val="es-MX"/>
              </w:rPr>
              <w:t xml:space="preserve">SECRETARIA DE EDUCACIÓN DE GOBIERNO </w:t>
            </w:r>
            <w:bookmarkStart w:id="0" w:name="_GoBack"/>
            <w:bookmarkEnd w:id="0"/>
            <w:r w:rsidR="00095AB3" w:rsidRPr="00A02016">
              <w:rPr>
                <w:rFonts w:ascii="Arial" w:hAnsi="Arial" w:cs="Arial"/>
                <w:color w:val="4F81BD" w:themeColor="accent1"/>
                <w:sz w:val="24"/>
                <w:szCs w:val="24"/>
                <w:lang w:val="es-MX"/>
              </w:rPr>
              <w:t>DEL ESTADO</w:t>
            </w:r>
            <w:r w:rsidR="004001C3" w:rsidRPr="00A02016">
              <w:rPr>
                <w:rFonts w:ascii="Arial" w:hAnsi="Arial" w:cs="Arial"/>
                <w:color w:val="4F81BD" w:themeColor="accent1"/>
                <w:sz w:val="24"/>
                <w:szCs w:val="24"/>
                <w:lang w:val="es-MX"/>
              </w:rPr>
              <w:t>.</w:t>
            </w:r>
          </w:p>
        </w:tc>
      </w:tr>
      <w:tr w:rsidR="00547C44" w:rsidRPr="00A02016"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A02016" w:rsidRDefault="00547C44" w:rsidP="00B91518">
            <w:pPr>
              <w:ind w:left="-108"/>
              <w:rPr>
                <w:rFonts w:ascii="Arial" w:hAnsi="Arial" w:cs="Arial"/>
                <w:color w:val="4F81BD" w:themeColor="accent1"/>
                <w:sz w:val="24"/>
                <w:szCs w:val="24"/>
                <w:lang w:val="es-MX"/>
              </w:rPr>
            </w:pPr>
            <w:r w:rsidRPr="00A02016">
              <w:rPr>
                <w:rFonts w:ascii="Arial" w:hAnsi="Arial" w:cs="Arial"/>
                <w:b/>
                <w:color w:val="4F81BD" w:themeColor="accent1"/>
                <w:sz w:val="24"/>
                <w:szCs w:val="24"/>
                <w:lang w:val="es-MX"/>
              </w:rPr>
              <w:t xml:space="preserve">COMISIONADO PONENTE: </w:t>
            </w:r>
            <w:r w:rsidRPr="00A02016">
              <w:rPr>
                <w:rFonts w:ascii="Arial" w:hAnsi="Arial" w:cs="Arial"/>
                <w:color w:val="4F81BD" w:themeColor="accent1"/>
                <w:sz w:val="24"/>
                <w:szCs w:val="24"/>
                <w:lang w:val="es-MX"/>
              </w:rPr>
              <w:t>CLAUDIA ELIZABETH ÁVALOS CEDILLO</w:t>
            </w:r>
          </w:p>
        </w:tc>
      </w:tr>
    </w:tbl>
    <w:p w:rsidR="00547C44" w:rsidRPr="00A02016" w:rsidRDefault="00547C44" w:rsidP="00B91518">
      <w:pPr>
        <w:rPr>
          <w:rFonts w:ascii="Arial" w:hAnsi="Arial" w:cs="Arial"/>
          <w:b/>
          <w:color w:val="4F81BD" w:themeColor="accent1"/>
          <w:sz w:val="24"/>
          <w:lang w:val="es-MX"/>
        </w:rPr>
      </w:pPr>
    </w:p>
    <w:p w:rsidR="004602D7" w:rsidRPr="00A02016" w:rsidRDefault="004602D7" w:rsidP="00B91518">
      <w:pPr>
        <w:rPr>
          <w:rFonts w:ascii="Arial" w:hAnsi="Arial" w:cs="Arial"/>
          <w:b/>
          <w:color w:val="4F81BD" w:themeColor="accent1"/>
          <w:sz w:val="24"/>
          <w:lang w:val="es-MX"/>
        </w:rPr>
      </w:pPr>
    </w:p>
    <w:p w:rsidR="00547C44" w:rsidRPr="00A02016" w:rsidRDefault="00547C44" w:rsidP="00B91518">
      <w:pPr>
        <w:pStyle w:val="Textoindependienteprimerasangra"/>
        <w:spacing w:after="0"/>
        <w:ind w:firstLine="0"/>
        <w:rPr>
          <w:rFonts w:ascii="Arial" w:eastAsia="Arial Unicode MS" w:hAnsi="Arial" w:cs="Arial"/>
          <w:color w:val="4F81BD" w:themeColor="accent1"/>
          <w:sz w:val="24"/>
          <w:lang w:val="es-MX"/>
        </w:rPr>
      </w:pPr>
      <w:r w:rsidRPr="00A02016">
        <w:rPr>
          <w:rFonts w:ascii="Arial" w:hAnsi="Arial" w:cs="Arial"/>
          <w:b/>
          <w:color w:val="4F81BD" w:themeColor="accent1"/>
          <w:sz w:val="24"/>
          <w:lang w:val="es-MX"/>
        </w:rPr>
        <w:tab/>
      </w:r>
      <w:r w:rsidRPr="00A02016">
        <w:rPr>
          <w:rFonts w:ascii="Arial" w:eastAsia="Arial Unicode MS" w:hAnsi="Arial" w:cs="Arial"/>
          <w:color w:val="4F81BD" w:themeColor="accent1"/>
          <w:sz w:val="24"/>
          <w:lang w:val="es-MX"/>
        </w:rPr>
        <w:t xml:space="preserve">San Luis Potosí, San Luis Potosí, </w:t>
      </w:r>
      <w:r w:rsidR="007C6DA0" w:rsidRPr="00A02016">
        <w:rPr>
          <w:rFonts w:ascii="Arial" w:eastAsia="Arial Unicode MS" w:hAnsi="Arial" w:cs="Arial"/>
          <w:color w:val="4F81BD" w:themeColor="accent1"/>
          <w:sz w:val="24"/>
          <w:lang w:val="es-MX"/>
        </w:rPr>
        <w:t>catorce de febrero de dos mil dieciocho</w:t>
      </w:r>
      <w:r w:rsidRPr="00A02016">
        <w:rPr>
          <w:rFonts w:ascii="Arial" w:eastAsia="Arial Unicode MS" w:hAnsi="Arial" w:cs="Arial"/>
          <w:color w:val="4F81BD" w:themeColor="accent1"/>
          <w:sz w:val="24"/>
          <w:lang w:val="es-MX"/>
        </w:rPr>
        <w:t>.</w:t>
      </w:r>
    </w:p>
    <w:p w:rsidR="000214B4" w:rsidRPr="00A02016" w:rsidRDefault="004001C3" w:rsidP="00B91518">
      <w:pPr>
        <w:pStyle w:val="Textoindependienteprimerasangra"/>
        <w:spacing w:before="240"/>
        <w:ind w:firstLine="900"/>
        <w:rPr>
          <w:rFonts w:ascii="Arial" w:eastAsia="Arial Unicode MS" w:hAnsi="Arial" w:cs="Arial"/>
          <w:b/>
          <w:color w:val="4F81BD" w:themeColor="accent1"/>
          <w:sz w:val="24"/>
          <w:lang w:val="es-MX"/>
        </w:rPr>
      </w:pPr>
      <w:r w:rsidRPr="00A02016">
        <w:rPr>
          <w:rFonts w:ascii="Arial" w:eastAsia="Arial Unicode MS" w:hAnsi="Arial" w:cs="Arial"/>
          <w:b/>
          <w:color w:val="4F81BD" w:themeColor="accent1"/>
          <w:sz w:val="24"/>
          <w:lang w:val="es-MX"/>
        </w:rPr>
        <w:t>V</w:t>
      </w:r>
      <w:r w:rsidR="00547C44" w:rsidRPr="00A02016">
        <w:rPr>
          <w:rFonts w:ascii="Arial" w:eastAsia="Arial Unicode MS" w:hAnsi="Arial" w:cs="Arial"/>
          <w:b/>
          <w:color w:val="4F81BD" w:themeColor="accent1"/>
          <w:sz w:val="24"/>
          <w:lang w:val="es-MX"/>
        </w:rPr>
        <w:t>ISTO</w:t>
      </w:r>
      <w:r w:rsidR="00547C44" w:rsidRPr="00A02016">
        <w:rPr>
          <w:rFonts w:ascii="Arial" w:eastAsia="Arial Unicode MS" w:hAnsi="Arial" w:cs="Arial"/>
          <w:color w:val="4F81BD" w:themeColor="accent1"/>
          <w:sz w:val="24"/>
          <w:lang w:val="es-MX"/>
        </w:rPr>
        <w:t xml:space="preserve"> para resolver los autos que conforman el expediente </w:t>
      </w:r>
      <w:r w:rsidR="007C6DA0" w:rsidRPr="00A02016">
        <w:rPr>
          <w:rFonts w:ascii="Arial" w:hAnsi="Arial" w:cs="Arial"/>
          <w:b/>
          <w:color w:val="4F81BD" w:themeColor="accent1"/>
          <w:sz w:val="24"/>
          <w:lang w:val="es-MX"/>
        </w:rPr>
        <w:t>009/2018</w:t>
      </w:r>
      <w:r w:rsidR="00547C44" w:rsidRPr="00A02016">
        <w:rPr>
          <w:rFonts w:ascii="Arial" w:hAnsi="Arial" w:cs="Arial"/>
          <w:b/>
          <w:color w:val="4F81BD" w:themeColor="accent1"/>
          <w:sz w:val="24"/>
          <w:lang w:val="es-MX"/>
        </w:rPr>
        <w:t xml:space="preserve">-3 </w:t>
      </w:r>
      <w:r w:rsidR="00C3070D" w:rsidRPr="00A02016">
        <w:rPr>
          <w:rFonts w:ascii="Arial" w:eastAsia="Arial Unicode MS" w:hAnsi="Arial" w:cs="Arial"/>
          <w:color w:val="4F81BD" w:themeColor="accent1"/>
          <w:sz w:val="24"/>
          <w:lang w:val="es-MX"/>
        </w:rPr>
        <w:t>del índice de esta C</w:t>
      </w:r>
      <w:r w:rsidR="00547C44" w:rsidRPr="00A02016">
        <w:rPr>
          <w:rFonts w:ascii="Arial" w:eastAsia="Arial Unicode MS" w:hAnsi="Arial" w:cs="Arial"/>
          <w:color w:val="4F81BD" w:themeColor="accent1"/>
          <w:sz w:val="24"/>
          <w:lang w:val="es-MX"/>
        </w:rPr>
        <w:t xml:space="preserve">omisión, relativo al </w:t>
      </w:r>
      <w:r w:rsidR="00F1470A" w:rsidRPr="00A02016">
        <w:rPr>
          <w:rFonts w:ascii="Arial" w:eastAsia="Arial Unicode MS" w:hAnsi="Arial" w:cs="Arial"/>
          <w:b/>
          <w:color w:val="4F81BD" w:themeColor="accent1"/>
          <w:sz w:val="24"/>
          <w:lang w:val="es-MX"/>
        </w:rPr>
        <w:t>Recurso de R</w:t>
      </w:r>
      <w:r w:rsidR="00547C44" w:rsidRPr="00A02016">
        <w:rPr>
          <w:rFonts w:ascii="Arial" w:eastAsia="Arial Unicode MS" w:hAnsi="Arial" w:cs="Arial"/>
          <w:b/>
          <w:color w:val="4F81BD" w:themeColor="accent1"/>
          <w:sz w:val="24"/>
          <w:lang w:val="es-MX"/>
        </w:rPr>
        <w:t>evisión</w:t>
      </w:r>
      <w:r w:rsidR="00547C44" w:rsidRPr="00A02016">
        <w:rPr>
          <w:rFonts w:ascii="Arial" w:eastAsia="Arial Unicode MS" w:hAnsi="Arial" w:cs="Arial"/>
          <w:color w:val="4F81BD" w:themeColor="accent1"/>
          <w:sz w:val="24"/>
          <w:lang w:val="es-MX"/>
        </w:rPr>
        <w:t xml:space="preserve">, </w:t>
      </w:r>
      <w:r w:rsidRPr="00A02016">
        <w:rPr>
          <w:rFonts w:ascii="Arial" w:eastAsia="Arial Unicode MS" w:hAnsi="Arial" w:cs="Arial"/>
          <w:color w:val="4F81BD" w:themeColor="accent1"/>
          <w:sz w:val="24"/>
          <w:lang w:val="es-MX"/>
        </w:rPr>
        <w:t xml:space="preserve">interpuesto contra la respuesta emitida </w:t>
      </w:r>
      <w:r w:rsidR="00C02CBF" w:rsidRPr="00A02016">
        <w:rPr>
          <w:rFonts w:ascii="Arial" w:eastAsia="Arial Unicode MS" w:hAnsi="Arial" w:cs="Arial"/>
          <w:color w:val="4F81BD" w:themeColor="accent1"/>
          <w:sz w:val="24"/>
          <w:lang w:val="es-MX"/>
        </w:rPr>
        <w:t>por</w:t>
      </w:r>
      <w:r w:rsidR="00095AB3" w:rsidRPr="00A02016">
        <w:rPr>
          <w:rFonts w:ascii="Arial" w:eastAsia="Arial Unicode MS" w:hAnsi="Arial" w:cs="Arial"/>
          <w:color w:val="4F81BD" w:themeColor="accent1"/>
          <w:sz w:val="24"/>
          <w:lang w:val="es-MX"/>
        </w:rPr>
        <w:t xml:space="preserve"> </w:t>
      </w:r>
      <w:r w:rsidRPr="00A02016">
        <w:rPr>
          <w:rFonts w:ascii="Arial" w:eastAsia="Arial Unicode MS" w:hAnsi="Arial" w:cs="Arial"/>
          <w:color w:val="4F81BD" w:themeColor="accent1"/>
          <w:sz w:val="24"/>
          <w:lang w:val="es-MX"/>
        </w:rPr>
        <w:t xml:space="preserve">la </w:t>
      </w:r>
      <w:r w:rsidRPr="00A02016">
        <w:rPr>
          <w:rFonts w:ascii="Arial" w:eastAsia="Arial Unicode MS" w:hAnsi="Arial" w:cs="Arial"/>
          <w:b/>
          <w:color w:val="4F81BD" w:themeColor="accent1"/>
          <w:sz w:val="24"/>
          <w:lang w:val="es-MX"/>
        </w:rPr>
        <w:t xml:space="preserve">SECRETARIA DE EDUCACIÓN DE </w:t>
      </w:r>
      <w:r w:rsidR="007C6DA0" w:rsidRPr="00A02016">
        <w:rPr>
          <w:rFonts w:ascii="Arial" w:eastAsia="Arial Unicode MS" w:hAnsi="Arial" w:cs="Arial"/>
          <w:b/>
          <w:color w:val="4F81BD" w:themeColor="accent1"/>
          <w:sz w:val="24"/>
          <w:lang w:val="es-MX"/>
        </w:rPr>
        <w:t xml:space="preserve">GOBIERNO DEL ESTADO, </w:t>
      </w:r>
      <w:r w:rsidR="00F32508" w:rsidRPr="00A02016">
        <w:rPr>
          <w:rFonts w:ascii="Arial" w:eastAsia="Arial Unicode MS" w:hAnsi="Arial" w:cs="Arial"/>
          <w:color w:val="4F81BD" w:themeColor="accent1"/>
          <w:sz w:val="24"/>
          <w:lang w:val="es-MX"/>
        </w:rPr>
        <w:t>teniendo en consideración los siguientes:</w:t>
      </w:r>
      <w:r w:rsidR="00F1470A" w:rsidRPr="00A02016">
        <w:rPr>
          <w:rFonts w:ascii="Arial" w:eastAsia="Arial Unicode MS" w:hAnsi="Arial" w:cs="Arial"/>
          <w:b/>
          <w:color w:val="4F81BD" w:themeColor="accent1"/>
          <w:sz w:val="24"/>
          <w:lang w:val="es-MX"/>
        </w:rPr>
        <w:t xml:space="preserve">  </w:t>
      </w:r>
    </w:p>
    <w:p w:rsidR="00547C44" w:rsidRPr="00A02016" w:rsidRDefault="00547C44" w:rsidP="00B91518">
      <w:pPr>
        <w:pStyle w:val="Textoindependienteprimerasangra"/>
        <w:spacing w:before="240"/>
        <w:ind w:firstLine="900"/>
        <w:jc w:val="center"/>
        <w:rPr>
          <w:rFonts w:ascii="Arial" w:eastAsia="Arial Unicode MS" w:hAnsi="Arial" w:cs="Arial"/>
          <w:b/>
          <w:color w:val="4F81BD" w:themeColor="accent1"/>
          <w:sz w:val="24"/>
          <w:lang w:val="es-MX"/>
        </w:rPr>
      </w:pPr>
      <w:r w:rsidRPr="00A02016">
        <w:rPr>
          <w:rFonts w:ascii="Arial" w:eastAsia="Arial Unicode MS" w:hAnsi="Arial" w:cs="Arial"/>
          <w:b/>
          <w:color w:val="4F81BD" w:themeColor="accent1"/>
          <w:sz w:val="24"/>
          <w:lang w:val="es-MX"/>
        </w:rPr>
        <w:t>A N T E C E D E N T E S:</w:t>
      </w:r>
    </w:p>
    <w:p w:rsidR="00CE3139" w:rsidRPr="00A02016" w:rsidRDefault="00547C44" w:rsidP="00B91518">
      <w:pPr>
        <w:pStyle w:val="Textoindependienteprimerasangra"/>
        <w:spacing w:before="240" w:after="0"/>
        <w:ind w:firstLine="900"/>
        <w:rPr>
          <w:rFonts w:ascii="Arial" w:eastAsia="Arial Unicode MS" w:hAnsi="Arial" w:cs="Arial"/>
          <w:color w:val="4F81BD" w:themeColor="accent1"/>
          <w:sz w:val="24"/>
          <w:lang w:val="es-MX"/>
        </w:rPr>
      </w:pPr>
      <w:r w:rsidRPr="00A02016">
        <w:rPr>
          <w:rFonts w:ascii="Arial" w:eastAsia="Arial Unicode MS" w:hAnsi="Arial" w:cs="Arial"/>
          <w:b/>
          <w:color w:val="4F81BD" w:themeColor="accent1"/>
          <w:sz w:val="24"/>
          <w:lang w:val="es-MX"/>
        </w:rPr>
        <w:t xml:space="preserve">PRIMERO. Solicitud de Información. </w:t>
      </w:r>
      <w:r w:rsidRPr="00A02016">
        <w:rPr>
          <w:rFonts w:ascii="Arial" w:eastAsia="Arial Unicode MS" w:hAnsi="Arial" w:cs="Arial"/>
          <w:color w:val="4F81BD" w:themeColor="accent1"/>
          <w:sz w:val="24"/>
          <w:lang w:val="es-MX"/>
        </w:rPr>
        <w:t xml:space="preserve">El </w:t>
      </w:r>
      <w:r w:rsidR="007C6DA0" w:rsidRPr="00A02016">
        <w:rPr>
          <w:rFonts w:ascii="Arial" w:eastAsia="Arial Unicode MS" w:hAnsi="Arial" w:cs="Arial"/>
          <w:color w:val="4F81BD" w:themeColor="accent1"/>
          <w:sz w:val="24"/>
          <w:lang w:val="es-MX"/>
        </w:rPr>
        <w:t>trece de noviembre de dos mil diecisiete</w:t>
      </w:r>
      <w:r w:rsidRPr="00A02016">
        <w:rPr>
          <w:rFonts w:ascii="Arial" w:eastAsia="Arial Unicode MS" w:hAnsi="Arial" w:cs="Arial"/>
          <w:color w:val="4F81BD" w:themeColor="accent1"/>
          <w:sz w:val="24"/>
          <w:lang w:val="es-MX"/>
        </w:rPr>
        <w:t xml:space="preserve">, </w:t>
      </w:r>
      <w:r w:rsidR="00820601" w:rsidRPr="00A02016">
        <w:rPr>
          <w:rFonts w:ascii="Arial" w:eastAsia="Arial Unicode MS" w:hAnsi="Arial" w:cs="Arial"/>
          <w:color w:val="4F81BD" w:themeColor="accent1"/>
          <w:sz w:val="24"/>
          <w:lang w:val="es-MX"/>
        </w:rPr>
        <w:t xml:space="preserve">el </w:t>
      </w:r>
      <w:r w:rsidR="000214B4" w:rsidRPr="00A02016">
        <w:rPr>
          <w:rFonts w:ascii="Arial" w:eastAsia="Arial Unicode MS" w:hAnsi="Arial" w:cs="Arial"/>
          <w:color w:val="4F81BD" w:themeColor="accent1"/>
          <w:sz w:val="24"/>
          <w:lang w:val="es-MX"/>
        </w:rPr>
        <w:t>recurrente</w:t>
      </w:r>
      <w:r w:rsidR="00C63190" w:rsidRPr="00A02016">
        <w:rPr>
          <w:rFonts w:ascii="Arial" w:eastAsia="Arial Unicode MS" w:hAnsi="Arial" w:cs="Arial"/>
          <w:color w:val="4F81BD" w:themeColor="accent1"/>
          <w:sz w:val="24"/>
          <w:lang w:val="es-MX"/>
        </w:rPr>
        <w:t xml:space="preserve"> </w:t>
      </w:r>
      <w:r w:rsidR="00AF29EF" w:rsidRPr="00A02016">
        <w:rPr>
          <w:rFonts w:ascii="Arial" w:eastAsia="Arial Unicode MS" w:hAnsi="Arial" w:cs="Arial"/>
          <w:color w:val="4F81BD" w:themeColor="accent1"/>
          <w:sz w:val="24"/>
          <w:lang w:val="es-MX"/>
        </w:rPr>
        <w:t xml:space="preserve">presentó </w:t>
      </w:r>
      <w:r w:rsidR="00CE3139" w:rsidRPr="00A02016">
        <w:rPr>
          <w:rFonts w:ascii="Arial" w:eastAsia="Arial Unicode MS" w:hAnsi="Arial" w:cs="Arial"/>
          <w:color w:val="4F81BD" w:themeColor="accent1"/>
          <w:sz w:val="24"/>
          <w:lang w:val="es-MX"/>
        </w:rPr>
        <w:t xml:space="preserve">ante la </w:t>
      </w:r>
      <w:r w:rsidR="00CE3139" w:rsidRPr="00A02016">
        <w:rPr>
          <w:rFonts w:ascii="Arial" w:eastAsia="Arial Unicode MS" w:hAnsi="Arial" w:cs="Arial"/>
          <w:b/>
          <w:color w:val="4F81BD" w:themeColor="accent1"/>
          <w:sz w:val="24"/>
          <w:lang w:val="es-MX"/>
        </w:rPr>
        <w:t xml:space="preserve">SECRETARÍA DE EDUCACIÓN DE GOBIERNO DEL ESTADO, </w:t>
      </w:r>
      <w:r w:rsidR="00095AB3" w:rsidRPr="00A02016">
        <w:rPr>
          <w:rFonts w:ascii="Arial" w:eastAsia="Arial Unicode MS" w:hAnsi="Arial" w:cs="Arial"/>
          <w:color w:val="4F81BD" w:themeColor="accent1"/>
          <w:sz w:val="24"/>
          <w:lang w:val="es-MX"/>
        </w:rPr>
        <w:t xml:space="preserve">una solicitud de información </w:t>
      </w:r>
      <w:r w:rsidR="007C6DA0" w:rsidRPr="00A02016">
        <w:rPr>
          <w:rFonts w:ascii="Arial" w:eastAsia="Arial Unicode MS" w:hAnsi="Arial" w:cs="Arial"/>
          <w:color w:val="4F81BD" w:themeColor="accent1"/>
          <w:sz w:val="24"/>
          <w:lang w:val="es-MX"/>
        </w:rPr>
        <w:t>a la cual le fue asignado el número de expediente 317/648/2017</w:t>
      </w:r>
      <w:r w:rsidR="00CE3139" w:rsidRPr="00A02016">
        <w:rPr>
          <w:rFonts w:ascii="Arial" w:eastAsia="Arial Unicode MS" w:hAnsi="Arial" w:cs="Arial"/>
          <w:color w:val="4F81BD" w:themeColor="accent1"/>
          <w:sz w:val="24"/>
          <w:lang w:val="es-MX"/>
        </w:rPr>
        <w:t xml:space="preserve">, y consistió la petición del solicitante en lo siguiente: </w:t>
      </w:r>
    </w:p>
    <w:p w:rsidR="00ED4F64" w:rsidRPr="00A02016" w:rsidRDefault="00ED4F64" w:rsidP="00B91518">
      <w:pPr>
        <w:pStyle w:val="Textoindependienteprimerasangra"/>
        <w:ind w:left="567" w:firstLine="0"/>
        <w:rPr>
          <w:rFonts w:ascii="Arial" w:eastAsia="Arial Unicode MS" w:hAnsi="Arial" w:cs="Arial"/>
          <w:color w:val="4F81BD" w:themeColor="accent1"/>
          <w:sz w:val="24"/>
          <w:lang w:val="es-MX"/>
        </w:rPr>
      </w:pPr>
    </w:p>
    <w:p w:rsidR="00B84560" w:rsidRPr="00A02016" w:rsidRDefault="001C0785" w:rsidP="001C0785">
      <w:pPr>
        <w:pStyle w:val="Textoindependienteprimerasangra"/>
        <w:spacing w:line="240" w:lineRule="auto"/>
        <w:ind w:left="708" w:firstLine="708"/>
        <w:rPr>
          <w:rFonts w:ascii="Arial" w:eastAsia="Arial Unicode MS" w:hAnsi="Arial" w:cs="Arial"/>
          <w:i/>
          <w:color w:val="4F81BD" w:themeColor="accent1"/>
          <w:sz w:val="24"/>
          <w:lang w:val="es-MX"/>
        </w:rPr>
      </w:pPr>
      <w:r w:rsidRPr="00A02016">
        <w:rPr>
          <w:rFonts w:ascii="Arial" w:eastAsia="Arial Unicode MS" w:hAnsi="Arial" w:cs="Arial"/>
          <w:i/>
          <w:color w:val="4F81BD" w:themeColor="accent1"/>
          <w:sz w:val="24"/>
          <w:lang w:val="es-MX"/>
        </w:rPr>
        <w:t>“…</w:t>
      </w:r>
      <w:r w:rsidR="007C6DA0" w:rsidRPr="00A02016">
        <w:rPr>
          <w:rFonts w:ascii="Arial" w:eastAsia="Arial Unicode MS" w:hAnsi="Arial" w:cs="Arial"/>
          <w:i/>
          <w:color w:val="4F81BD" w:themeColor="accent1"/>
          <w:sz w:val="24"/>
          <w:lang w:val="es-MX"/>
        </w:rPr>
        <w:t xml:space="preserve">De los recursos públicos que utilizó el Director de la BECENE, dispuso de éstos recursos durante el mes de noviembre-2016 para el pago de la nómina de 36 docentes que supuestamente aplicaron exámenes profesionales a 17 alumnos que se titularon, presentando su examen el 29-nov-2016, en un horario de 15:00 </w:t>
      </w:r>
      <w:proofErr w:type="spellStart"/>
      <w:r w:rsidR="007C6DA0" w:rsidRPr="00A02016">
        <w:rPr>
          <w:rFonts w:ascii="Arial" w:eastAsia="Arial Unicode MS" w:hAnsi="Arial" w:cs="Arial"/>
          <w:i/>
          <w:color w:val="4F81BD" w:themeColor="accent1"/>
          <w:sz w:val="24"/>
          <w:lang w:val="es-MX"/>
        </w:rPr>
        <w:t>hrs</w:t>
      </w:r>
      <w:proofErr w:type="spellEnd"/>
      <w:r w:rsidR="007C6DA0" w:rsidRPr="00A02016">
        <w:rPr>
          <w:rFonts w:ascii="Arial" w:eastAsia="Arial Unicode MS" w:hAnsi="Arial" w:cs="Arial"/>
          <w:i/>
          <w:color w:val="4F81BD" w:themeColor="accent1"/>
          <w:sz w:val="24"/>
          <w:lang w:val="es-MX"/>
        </w:rPr>
        <w:t xml:space="preserve"> a 19:00 </w:t>
      </w:r>
      <w:proofErr w:type="spellStart"/>
      <w:r w:rsidR="007C6DA0" w:rsidRPr="00A02016">
        <w:rPr>
          <w:rFonts w:ascii="Arial" w:eastAsia="Arial Unicode MS" w:hAnsi="Arial" w:cs="Arial"/>
          <w:i/>
          <w:color w:val="4F81BD" w:themeColor="accent1"/>
          <w:sz w:val="24"/>
          <w:lang w:val="es-MX"/>
        </w:rPr>
        <w:t>hrs</w:t>
      </w:r>
      <w:proofErr w:type="spellEnd"/>
      <w:r w:rsidR="007C6DA0" w:rsidRPr="00A02016">
        <w:rPr>
          <w:rFonts w:ascii="Arial" w:eastAsia="Arial Unicode MS" w:hAnsi="Arial" w:cs="Arial"/>
          <w:i/>
          <w:color w:val="4F81BD" w:themeColor="accent1"/>
          <w:sz w:val="24"/>
          <w:lang w:val="es-MX"/>
        </w:rPr>
        <w:t xml:space="preserve">, nomina que supuestamente fue pagada el 07-DIC-2016, a los docentes y a una servidora pública de apoyo administrativo, la cantidad pagada es de $35,000.00 (treinta y cinco mil pesos), recursos públicos que debe comprobar que están publicados de oficio, disponibles al público en general de manera completa y actualizada, cumpliendo con la Ley de la materia. </w:t>
      </w:r>
    </w:p>
    <w:p w:rsidR="009B577F" w:rsidRPr="00A02016" w:rsidRDefault="007C6DA0" w:rsidP="001C0785">
      <w:pPr>
        <w:pStyle w:val="Textoindependienteprimerasangra"/>
        <w:spacing w:line="240" w:lineRule="auto"/>
        <w:ind w:left="567" w:firstLine="0"/>
        <w:rPr>
          <w:rFonts w:ascii="Arial" w:eastAsia="Arial Unicode MS" w:hAnsi="Arial" w:cs="Arial"/>
          <w:i/>
          <w:color w:val="4F81BD" w:themeColor="accent1"/>
          <w:sz w:val="24"/>
          <w:lang w:val="es-MX"/>
        </w:rPr>
      </w:pPr>
      <w:r w:rsidRPr="00A02016">
        <w:rPr>
          <w:rFonts w:ascii="Arial" w:eastAsia="Arial Unicode MS" w:hAnsi="Arial" w:cs="Arial"/>
          <w:i/>
          <w:color w:val="4F81BD" w:themeColor="accent1"/>
          <w:sz w:val="24"/>
          <w:lang w:val="es-MX"/>
        </w:rPr>
        <w:tab/>
      </w:r>
      <w:r w:rsidRPr="00A02016">
        <w:rPr>
          <w:rFonts w:ascii="Arial" w:eastAsia="Arial Unicode MS" w:hAnsi="Arial" w:cs="Arial"/>
          <w:i/>
          <w:color w:val="4F81BD" w:themeColor="accent1"/>
          <w:sz w:val="24"/>
          <w:lang w:val="es-MX"/>
        </w:rPr>
        <w:tab/>
        <w:t xml:space="preserve">De igual manera deberá tener a disposición del público general y publicar de oficio completa y actualizada la información pública de los recursos públicos </w:t>
      </w:r>
      <w:r w:rsidR="009B577F" w:rsidRPr="00A02016">
        <w:rPr>
          <w:rFonts w:ascii="Arial" w:eastAsia="Arial Unicode MS" w:hAnsi="Arial" w:cs="Arial"/>
          <w:i/>
          <w:color w:val="4F81BD" w:themeColor="accent1"/>
          <w:sz w:val="24"/>
          <w:lang w:val="es-MX"/>
        </w:rPr>
        <w:t xml:space="preserve">que también utilizó </w:t>
      </w:r>
      <w:proofErr w:type="spellStart"/>
      <w:r w:rsidR="009B577F" w:rsidRPr="00A02016">
        <w:rPr>
          <w:rFonts w:ascii="Arial" w:eastAsia="Arial Unicode MS" w:hAnsi="Arial" w:cs="Arial"/>
          <w:i/>
          <w:color w:val="4F81BD" w:themeColor="accent1"/>
          <w:sz w:val="24"/>
          <w:lang w:val="es-MX"/>
        </w:rPr>
        <w:t>Fco</w:t>
      </w:r>
      <w:proofErr w:type="spellEnd"/>
      <w:r w:rsidR="009B577F" w:rsidRPr="00A02016">
        <w:rPr>
          <w:rFonts w:ascii="Arial" w:eastAsia="Arial Unicode MS" w:hAnsi="Arial" w:cs="Arial"/>
          <w:i/>
          <w:color w:val="4F81BD" w:themeColor="accent1"/>
          <w:sz w:val="24"/>
          <w:lang w:val="es-MX"/>
        </w:rPr>
        <w:t xml:space="preserve">. </w:t>
      </w:r>
      <w:proofErr w:type="spellStart"/>
      <w:r w:rsidR="009B577F" w:rsidRPr="00A02016">
        <w:rPr>
          <w:rFonts w:ascii="Arial" w:eastAsia="Arial Unicode MS" w:hAnsi="Arial" w:cs="Arial"/>
          <w:i/>
          <w:color w:val="4F81BD" w:themeColor="accent1"/>
          <w:sz w:val="24"/>
          <w:lang w:val="es-MX"/>
        </w:rPr>
        <w:t>Hdz</w:t>
      </w:r>
      <w:proofErr w:type="spellEnd"/>
      <w:r w:rsidR="009B577F" w:rsidRPr="00A02016">
        <w:rPr>
          <w:rFonts w:ascii="Arial" w:eastAsia="Arial Unicode MS" w:hAnsi="Arial" w:cs="Arial"/>
          <w:i/>
          <w:color w:val="4F81BD" w:themeColor="accent1"/>
          <w:sz w:val="24"/>
          <w:lang w:val="es-MX"/>
        </w:rPr>
        <w:t xml:space="preserve"> Ortíz, Director de la BECENE, para el pago de la nómina de 15 quince docentes que supuestamente aplicaron exámenes profesionales a (5) alumnos titulados, que presentaron su examen profesional el 28-febrero-2017, pagándoseles a los quince (15) docentes mediante una nómina de la misma fecha y por la cantidad de $11,000.00 (Once mil pesos), cantidad de recursos públicos </w:t>
      </w:r>
      <w:r w:rsidR="009B577F" w:rsidRPr="00A02016">
        <w:rPr>
          <w:rFonts w:ascii="Arial" w:eastAsia="Arial Unicode MS" w:hAnsi="Arial" w:cs="Arial"/>
          <w:i/>
          <w:color w:val="4F81BD" w:themeColor="accent1"/>
          <w:sz w:val="24"/>
          <w:lang w:val="es-MX"/>
        </w:rPr>
        <w:lastRenderedPageBreak/>
        <w:t xml:space="preserve">que debe estar disponible para todo el público general y publicada de oficio de manera completa y actualizada de manera electrónica en la BECENE y el SEER, cumpliendo con l Ley de la materia, tanto en la nómina anterior como en esta deberán presentar los pagos que realizaron con recursos públicos en efectivo o en cheque (póliza), con la comprobación de haberse recibido por los docentes trabajadores que aplicaron los exámenes profesionales, de los 17 y 5 = 22 alumnos titulados. </w:t>
      </w:r>
    </w:p>
    <w:p w:rsidR="001C0785" w:rsidRPr="00A02016" w:rsidRDefault="009B577F" w:rsidP="001C0785">
      <w:pPr>
        <w:pStyle w:val="Textoindependienteprimerasangra"/>
        <w:spacing w:line="240" w:lineRule="auto"/>
        <w:ind w:left="567" w:firstLine="0"/>
        <w:rPr>
          <w:rFonts w:ascii="Arial" w:eastAsia="Arial Unicode MS" w:hAnsi="Arial" w:cs="Arial"/>
          <w:i/>
          <w:color w:val="4F81BD" w:themeColor="accent1"/>
          <w:sz w:val="24"/>
          <w:lang w:val="es-MX"/>
        </w:rPr>
      </w:pPr>
      <w:r w:rsidRPr="00A02016">
        <w:rPr>
          <w:rFonts w:ascii="Arial" w:eastAsia="Arial Unicode MS" w:hAnsi="Arial" w:cs="Arial"/>
          <w:i/>
          <w:color w:val="4F81BD" w:themeColor="accent1"/>
          <w:sz w:val="24"/>
          <w:lang w:val="es-MX"/>
        </w:rPr>
        <w:tab/>
      </w:r>
      <w:r w:rsidRPr="00A02016">
        <w:rPr>
          <w:rFonts w:ascii="Arial" w:eastAsia="Arial Unicode MS" w:hAnsi="Arial" w:cs="Arial"/>
          <w:i/>
          <w:color w:val="4F81BD" w:themeColor="accent1"/>
          <w:sz w:val="24"/>
          <w:lang w:val="es-MX"/>
        </w:rPr>
        <w:tab/>
        <w:t>Las dos nóminas antes mencionadas hacen un total de $35,000.00 más $11,000.00 igual a $46,000.00 (cuarenta y seis mil pesos), recursos públicos que deben estar debidamente a disposición del público en general, publicados de oficios, completos y actualizados, cumpliéndose</w:t>
      </w:r>
      <w:r w:rsidR="00DB05ED" w:rsidRPr="00A02016">
        <w:rPr>
          <w:rFonts w:ascii="Arial" w:eastAsia="Arial Unicode MS" w:hAnsi="Arial" w:cs="Arial"/>
          <w:i/>
          <w:color w:val="4F81BD" w:themeColor="accent1"/>
          <w:sz w:val="24"/>
          <w:lang w:val="es-MX"/>
        </w:rPr>
        <w:t xml:space="preserve"> con la Ley de la materia, pero si los recursos públicos de la BECENE no son públicos y tampoco tienen la obligación de publicarlos… tal y como lo he expresado el Director de Capacitación de la CEGAIP…entonces solicito me lo hagan saber de manera fundada y motivada, con el artículo y la fracción de las leyes de Transparencia Local y General en donde diga que no tienen la obligación de publicar, poner a disposición del público… y más los Recursos Públicos de la BECENE los que son manejados por servidores públicos y la cuenta bancaria es </w:t>
      </w:r>
      <w:r w:rsidR="005F748A" w:rsidRPr="00A02016">
        <w:rPr>
          <w:rFonts w:ascii="Arial" w:eastAsia="Arial Unicode MS" w:hAnsi="Arial" w:cs="Arial"/>
          <w:i/>
          <w:color w:val="4F81BD" w:themeColor="accent1"/>
          <w:sz w:val="24"/>
          <w:lang w:val="es-MX"/>
        </w:rPr>
        <w:t>pública..</w:t>
      </w:r>
      <w:r w:rsidR="00DB05ED" w:rsidRPr="00A02016">
        <w:rPr>
          <w:rFonts w:ascii="Arial" w:eastAsia="Arial Unicode MS" w:hAnsi="Arial" w:cs="Arial"/>
          <w:i/>
          <w:color w:val="4F81BD" w:themeColor="accent1"/>
          <w:sz w:val="24"/>
          <w:lang w:val="es-MX"/>
        </w:rPr>
        <w:t>.</w:t>
      </w:r>
      <w:r w:rsidR="005F748A" w:rsidRPr="00A02016">
        <w:rPr>
          <w:rFonts w:ascii="Arial" w:eastAsia="Arial Unicode MS" w:hAnsi="Arial" w:cs="Arial"/>
          <w:i/>
          <w:color w:val="4F81BD" w:themeColor="accent1"/>
          <w:sz w:val="24"/>
          <w:lang w:val="es-MX"/>
        </w:rPr>
        <w:t>”.</w:t>
      </w:r>
    </w:p>
    <w:p w:rsidR="005F748A" w:rsidRPr="00A02016" w:rsidRDefault="005F748A" w:rsidP="001C0785">
      <w:pPr>
        <w:pStyle w:val="Textoindependienteprimerasangra"/>
        <w:spacing w:line="240" w:lineRule="auto"/>
        <w:ind w:left="567" w:firstLine="0"/>
        <w:rPr>
          <w:rFonts w:ascii="Arial" w:eastAsia="Arial Unicode MS" w:hAnsi="Arial" w:cs="Arial"/>
          <w:i/>
          <w:color w:val="4F81BD" w:themeColor="accent1"/>
          <w:sz w:val="24"/>
          <w:lang w:val="es-MX"/>
        </w:rPr>
      </w:pPr>
      <w:r w:rsidRPr="00A02016">
        <w:rPr>
          <w:rFonts w:ascii="Arial" w:eastAsia="Arial Unicode MS" w:hAnsi="Arial" w:cs="Arial"/>
          <w:i/>
          <w:color w:val="4F81BD" w:themeColor="accent1"/>
          <w:sz w:val="24"/>
          <w:lang w:val="es-MX"/>
        </w:rPr>
        <w:t xml:space="preserve"> </w:t>
      </w:r>
    </w:p>
    <w:p w:rsidR="00CE3139" w:rsidRPr="00A02016" w:rsidRDefault="00547C44" w:rsidP="00B84560">
      <w:pPr>
        <w:spacing w:after="200"/>
        <w:ind w:firstLine="708"/>
        <w:rPr>
          <w:rFonts w:ascii="Arial" w:hAnsi="Arial" w:cs="Arial"/>
          <w:color w:val="4F81BD" w:themeColor="accent1"/>
          <w:sz w:val="24"/>
        </w:rPr>
      </w:pPr>
      <w:r w:rsidRPr="00A02016">
        <w:rPr>
          <w:rFonts w:ascii="Arial" w:eastAsia="Arial Unicode MS" w:hAnsi="Arial" w:cs="Arial"/>
          <w:b/>
          <w:color w:val="4F81BD" w:themeColor="accent1"/>
          <w:sz w:val="24"/>
        </w:rPr>
        <w:t xml:space="preserve">SEGUNDO. </w:t>
      </w:r>
      <w:r w:rsidRPr="00A02016">
        <w:rPr>
          <w:rFonts w:ascii="Arial" w:hAnsi="Arial" w:cs="Arial"/>
          <w:b/>
          <w:color w:val="4F81BD" w:themeColor="accent1"/>
          <w:sz w:val="24"/>
        </w:rPr>
        <w:t xml:space="preserve">Respuesta del sujeto obligado. </w:t>
      </w:r>
      <w:r w:rsidR="000526E6" w:rsidRPr="00A02016">
        <w:rPr>
          <w:rFonts w:ascii="Arial" w:hAnsi="Arial" w:cs="Arial"/>
          <w:color w:val="4F81BD" w:themeColor="accent1"/>
          <w:sz w:val="24"/>
        </w:rPr>
        <w:t xml:space="preserve">El </w:t>
      </w:r>
      <w:r w:rsidR="005F748A" w:rsidRPr="00A02016">
        <w:rPr>
          <w:rFonts w:ascii="Arial" w:hAnsi="Arial" w:cs="Arial"/>
          <w:color w:val="4F81BD" w:themeColor="accent1"/>
          <w:sz w:val="24"/>
        </w:rPr>
        <w:t>veintiocho de noviembre de dos mil diecisiete,</w:t>
      </w:r>
      <w:r w:rsidRPr="00A02016">
        <w:rPr>
          <w:rFonts w:ascii="Arial" w:hAnsi="Arial" w:cs="Arial"/>
          <w:color w:val="4F81BD" w:themeColor="accent1"/>
          <w:sz w:val="24"/>
        </w:rPr>
        <w:t xml:space="preserve"> </w:t>
      </w:r>
      <w:r w:rsidR="002866A6" w:rsidRPr="00A02016">
        <w:rPr>
          <w:rFonts w:ascii="Arial" w:hAnsi="Arial" w:cs="Arial"/>
          <w:color w:val="4F81BD" w:themeColor="accent1"/>
          <w:sz w:val="24"/>
        </w:rPr>
        <w:t xml:space="preserve">se notificó </w:t>
      </w:r>
      <w:r w:rsidR="00CE3139" w:rsidRPr="00A02016">
        <w:rPr>
          <w:rFonts w:ascii="Arial" w:hAnsi="Arial" w:cs="Arial"/>
          <w:color w:val="4F81BD" w:themeColor="accent1"/>
          <w:sz w:val="24"/>
        </w:rPr>
        <w:t>la respuesta</w:t>
      </w:r>
      <w:r w:rsidR="005F748A" w:rsidRPr="00A02016">
        <w:rPr>
          <w:rFonts w:ascii="Arial" w:hAnsi="Arial" w:cs="Arial"/>
          <w:color w:val="4F81BD" w:themeColor="accent1"/>
          <w:sz w:val="24"/>
        </w:rPr>
        <w:t xml:space="preserve"> a la solicitud del recurrente </w:t>
      </w:r>
      <w:r w:rsidR="00CE3139" w:rsidRPr="00A02016">
        <w:rPr>
          <w:rFonts w:ascii="Arial" w:hAnsi="Arial" w:cs="Arial"/>
          <w:color w:val="4F81BD" w:themeColor="accent1"/>
          <w:sz w:val="24"/>
        </w:rPr>
        <w:t>por medio de estrados, y se</w:t>
      </w:r>
      <w:r w:rsidR="005F748A" w:rsidRPr="00A02016">
        <w:rPr>
          <w:rFonts w:ascii="Arial" w:hAnsi="Arial" w:cs="Arial"/>
          <w:color w:val="4F81BD" w:themeColor="accent1"/>
          <w:sz w:val="24"/>
        </w:rPr>
        <w:t xml:space="preserve"> hizo saber del contenido del</w:t>
      </w:r>
      <w:r w:rsidR="00CE3139" w:rsidRPr="00A02016">
        <w:rPr>
          <w:rFonts w:ascii="Arial" w:hAnsi="Arial" w:cs="Arial"/>
          <w:color w:val="4F81BD" w:themeColor="accent1"/>
          <w:sz w:val="24"/>
        </w:rPr>
        <w:t xml:space="preserve"> ofi</w:t>
      </w:r>
      <w:r w:rsidR="005F748A" w:rsidRPr="00A02016">
        <w:rPr>
          <w:rFonts w:ascii="Arial" w:hAnsi="Arial" w:cs="Arial"/>
          <w:color w:val="4F81BD" w:themeColor="accent1"/>
          <w:sz w:val="24"/>
        </w:rPr>
        <w:t>cio DG/650/2017-2018</w:t>
      </w:r>
      <w:r w:rsidR="00CE3139" w:rsidRPr="00A02016">
        <w:rPr>
          <w:rFonts w:ascii="Arial" w:hAnsi="Arial" w:cs="Arial"/>
          <w:color w:val="4F81BD" w:themeColor="accent1"/>
          <w:sz w:val="24"/>
        </w:rPr>
        <w:t>, signado por el Director General de la Benemérita y Centenaria Escuela Normal del Estad</w:t>
      </w:r>
      <w:r w:rsidR="005F748A" w:rsidRPr="00A02016">
        <w:rPr>
          <w:rFonts w:ascii="Arial" w:hAnsi="Arial" w:cs="Arial"/>
          <w:color w:val="4F81BD" w:themeColor="accent1"/>
          <w:sz w:val="24"/>
        </w:rPr>
        <w:t xml:space="preserve">o, el cual obra a fojas seis a catorce del presente sumario. </w:t>
      </w:r>
    </w:p>
    <w:p w:rsidR="00547C44" w:rsidRPr="00A02016" w:rsidRDefault="00547C44" w:rsidP="00914E12">
      <w:pPr>
        <w:spacing w:after="200"/>
        <w:ind w:firstLine="708"/>
        <w:rPr>
          <w:rFonts w:ascii="Arial" w:eastAsia="Arial Unicode MS" w:hAnsi="Arial" w:cs="Arial"/>
          <w:color w:val="4F81BD" w:themeColor="accent1"/>
          <w:sz w:val="24"/>
          <w:lang w:val="es-MX"/>
        </w:rPr>
      </w:pPr>
      <w:r w:rsidRPr="00A02016">
        <w:rPr>
          <w:rFonts w:ascii="Arial" w:hAnsi="Arial" w:cs="Arial"/>
          <w:b/>
          <w:color w:val="4F81BD" w:themeColor="accent1"/>
          <w:sz w:val="24"/>
        </w:rPr>
        <w:t xml:space="preserve">TERCERO. Interposición del recurso de revisión. </w:t>
      </w:r>
      <w:r w:rsidR="00AF29EF" w:rsidRPr="00A02016">
        <w:rPr>
          <w:rFonts w:ascii="Arial" w:eastAsia="Arial Unicode MS" w:hAnsi="Arial" w:cs="Arial"/>
          <w:color w:val="4F81BD" w:themeColor="accent1"/>
          <w:sz w:val="24"/>
          <w:lang w:val="es-MX"/>
        </w:rPr>
        <w:t xml:space="preserve">El </w:t>
      </w:r>
      <w:r w:rsidR="000A283E" w:rsidRPr="00A02016">
        <w:rPr>
          <w:rFonts w:ascii="Arial" w:eastAsia="Arial Unicode MS" w:hAnsi="Arial" w:cs="Arial"/>
          <w:color w:val="4F81BD" w:themeColor="accent1"/>
          <w:sz w:val="24"/>
          <w:lang w:val="es-MX"/>
        </w:rPr>
        <w:t>cinco de enero de dos mil dieciocho</w:t>
      </w:r>
      <w:r w:rsidRPr="00A02016">
        <w:rPr>
          <w:rFonts w:ascii="Arial" w:hAnsi="Arial" w:cs="Arial"/>
          <w:color w:val="4F81BD" w:themeColor="accent1"/>
          <w:sz w:val="24"/>
        </w:rPr>
        <w:t>, este Órgano</w:t>
      </w:r>
      <w:r w:rsidR="00663908" w:rsidRPr="00A02016">
        <w:rPr>
          <w:rFonts w:ascii="Arial" w:hAnsi="Arial" w:cs="Arial"/>
          <w:color w:val="4F81BD" w:themeColor="accent1"/>
          <w:sz w:val="24"/>
        </w:rPr>
        <w:t xml:space="preserve"> Garante</w:t>
      </w:r>
      <w:r w:rsidRPr="00A02016">
        <w:rPr>
          <w:rFonts w:ascii="Arial" w:hAnsi="Arial" w:cs="Arial"/>
          <w:color w:val="4F81BD" w:themeColor="accent1"/>
          <w:sz w:val="24"/>
        </w:rPr>
        <w:t xml:space="preserve"> recibió el recurso de revisión interpuesto por el ahora recurrente contra l</w:t>
      </w:r>
      <w:r w:rsidR="00AE305F" w:rsidRPr="00A02016">
        <w:rPr>
          <w:rFonts w:ascii="Arial" w:hAnsi="Arial" w:cs="Arial"/>
          <w:color w:val="4F81BD" w:themeColor="accent1"/>
          <w:sz w:val="24"/>
        </w:rPr>
        <w:t>a respuesta emitida por parte d</w:t>
      </w:r>
      <w:r w:rsidR="00467BF1" w:rsidRPr="00A02016">
        <w:rPr>
          <w:rFonts w:ascii="Arial" w:hAnsi="Arial" w:cs="Arial"/>
          <w:color w:val="4F81BD" w:themeColor="accent1"/>
          <w:sz w:val="24"/>
        </w:rPr>
        <w:t xml:space="preserve">e la </w:t>
      </w:r>
      <w:r w:rsidR="00F77691" w:rsidRPr="00A02016">
        <w:rPr>
          <w:rFonts w:ascii="Arial" w:hAnsi="Arial" w:cs="Arial"/>
          <w:b/>
          <w:color w:val="4F81BD" w:themeColor="accent1"/>
          <w:sz w:val="24"/>
        </w:rPr>
        <w:t>SECRETARIA DE EDUCACIÓN DE GOBIERNO DEL ESTADO</w:t>
      </w:r>
      <w:r w:rsidRPr="00A02016">
        <w:rPr>
          <w:rFonts w:ascii="Arial" w:eastAsia="Arial Unicode MS" w:hAnsi="Arial" w:cs="Arial"/>
          <w:b/>
          <w:color w:val="4F81BD" w:themeColor="accent1"/>
          <w:sz w:val="24"/>
          <w:lang w:val="es-MX"/>
        </w:rPr>
        <w:t>,</w:t>
      </w:r>
      <w:r w:rsidR="00663908" w:rsidRPr="00A02016">
        <w:rPr>
          <w:rFonts w:ascii="Arial" w:eastAsia="Arial Unicode MS" w:hAnsi="Arial" w:cs="Arial"/>
          <w:b/>
          <w:color w:val="4F81BD" w:themeColor="accent1"/>
          <w:sz w:val="24"/>
          <w:lang w:val="es-MX"/>
        </w:rPr>
        <w:t xml:space="preserve"> </w:t>
      </w:r>
      <w:r w:rsidR="00C9337E" w:rsidRPr="00A02016">
        <w:rPr>
          <w:rFonts w:ascii="Arial" w:hAnsi="Arial" w:cs="Arial"/>
          <w:color w:val="4F81BD" w:themeColor="accent1"/>
          <w:sz w:val="24"/>
        </w:rPr>
        <w:t>y señaló</w:t>
      </w:r>
      <w:r w:rsidRPr="00A02016">
        <w:rPr>
          <w:rFonts w:ascii="Arial" w:hAnsi="Arial" w:cs="Arial"/>
          <w:color w:val="4F81BD" w:themeColor="accent1"/>
          <w:sz w:val="24"/>
        </w:rPr>
        <w:t xml:space="preserve"> como </w:t>
      </w:r>
      <w:r w:rsidR="00834848" w:rsidRPr="00A02016">
        <w:rPr>
          <w:rFonts w:ascii="Arial" w:hAnsi="Arial" w:cs="Arial"/>
          <w:color w:val="4F81BD" w:themeColor="accent1"/>
          <w:sz w:val="24"/>
        </w:rPr>
        <w:t xml:space="preserve">motivos </w:t>
      </w:r>
      <w:r w:rsidRPr="00A02016">
        <w:rPr>
          <w:rFonts w:ascii="Arial" w:hAnsi="Arial" w:cs="Arial"/>
          <w:color w:val="4F81BD" w:themeColor="accent1"/>
          <w:sz w:val="24"/>
        </w:rPr>
        <w:t>de inconformidad:</w:t>
      </w:r>
    </w:p>
    <w:p w:rsidR="00211510" w:rsidRPr="00A02016" w:rsidRDefault="00636AE7" w:rsidP="00636AE7">
      <w:pPr>
        <w:pStyle w:val="Textoindependienteprimerasangra"/>
        <w:spacing w:before="240" w:line="240" w:lineRule="auto"/>
        <w:ind w:left="709" w:firstLine="708"/>
        <w:jc w:val="left"/>
        <w:rPr>
          <w:i/>
          <w:noProof/>
          <w:color w:val="4F81BD" w:themeColor="accent1"/>
          <w:lang w:val="es-MX" w:eastAsia="es-MX"/>
        </w:rPr>
      </w:pPr>
      <w:r w:rsidRPr="00A02016">
        <w:rPr>
          <w:i/>
          <w:noProof/>
          <w:color w:val="4F81BD" w:themeColor="accent1"/>
          <w:lang w:val="es-MX" w:eastAsia="es-MX"/>
        </w:rPr>
        <w:t>*Información incompleta. (Recursos públicos no comprobados).</w:t>
      </w:r>
    </w:p>
    <w:p w:rsidR="00636AE7" w:rsidRPr="00A02016" w:rsidRDefault="00636AE7" w:rsidP="00636AE7">
      <w:pPr>
        <w:pStyle w:val="Textoindependienteprimerasangra"/>
        <w:spacing w:before="240" w:line="240" w:lineRule="auto"/>
        <w:ind w:left="709" w:firstLine="708"/>
        <w:jc w:val="left"/>
        <w:rPr>
          <w:i/>
          <w:noProof/>
          <w:color w:val="4F81BD" w:themeColor="accent1"/>
          <w:lang w:val="es-MX" w:eastAsia="es-MX"/>
        </w:rPr>
      </w:pPr>
      <w:r w:rsidRPr="00A02016">
        <w:rPr>
          <w:i/>
          <w:noProof/>
          <w:color w:val="4F81BD" w:themeColor="accent1"/>
          <w:lang w:val="es-MX" w:eastAsia="es-MX"/>
        </w:rPr>
        <w:t>Con fecha de 13-NOV-2017, presente mi solicitud en la SEGE, asignandole el No. 317-648-2017, recibida msima fecha, según sello de recibido. Anexo copia d mi solicitud.</w:t>
      </w:r>
    </w:p>
    <w:p w:rsidR="00636AE7" w:rsidRPr="00A02016" w:rsidRDefault="00636AE7" w:rsidP="00636AE7">
      <w:pPr>
        <w:pStyle w:val="Textoindependienteprimerasangra"/>
        <w:spacing w:before="240" w:line="240" w:lineRule="auto"/>
        <w:ind w:left="709" w:firstLine="708"/>
        <w:jc w:val="left"/>
        <w:rPr>
          <w:i/>
          <w:noProof/>
          <w:color w:val="4F81BD" w:themeColor="accent1"/>
          <w:lang w:val="es-MX" w:eastAsia="es-MX"/>
        </w:rPr>
      </w:pPr>
      <w:r w:rsidRPr="00A02016">
        <w:rPr>
          <w:i/>
          <w:noProof/>
          <w:color w:val="4F81BD" w:themeColor="accent1"/>
          <w:lang w:val="es-MX" w:eastAsia="es-MX"/>
        </w:rPr>
        <w:t xml:space="preserve">Con fecha 04-DIC-2017, recibí notificación de la Unidad de SEGE, con un oficio anexo del sujeto obligado y es: </w:t>
      </w:r>
    </w:p>
    <w:p w:rsidR="00636AE7" w:rsidRPr="00A02016" w:rsidRDefault="00636AE7" w:rsidP="00636AE7">
      <w:pPr>
        <w:pStyle w:val="Textoindependienteprimerasangra"/>
        <w:spacing w:before="240" w:line="240" w:lineRule="auto"/>
        <w:ind w:left="709" w:firstLine="708"/>
        <w:jc w:val="left"/>
        <w:rPr>
          <w:i/>
          <w:noProof/>
          <w:color w:val="4F81BD" w:themeColor="accent1"/>
          <w:lang w:val="es-MX" w:eastAsia="es-MX"/>
        </w:rPr>
      </w:pPr>
      <w:r w:rsidRPr="00A02016">
        <w:rPr>
          <w:i/>
          <w:noProof/>
          <w:color w:val="4F81BD" w:themeColor="accent1"/>
          <w:lang w:val="es-MX" w:eastAsia="es-MX"/>
        </w:rPr>
        <w:t>Por el Director de la BECENE, quien dice:</w:t>
      </w:r>
    </w:p>
    <w:p w:rsidR="00636AE7" w:rsidRPr="00A02016" w:rsidRDefault="00636AE7" w:rsidP="00412DE5">
      <w:pPr>
        <w:pStyle w:val="Textoindependienteprimerasangra"/>
        <w:spacing w:before="240" w:line="240" w:lineRule="auto"/>
        <w:ind w:left="709" w:firstLine="708"/>
        <w:rPr>
          <w:i/>
          <w:noProof/>
          <w:color w:val="4F81BD" w:themeColor="accent1"/>
          <w:lang w:val="es-MX" w:eastAsia="es-MX"/>
        </w:rPr>
      </w:pPr>
      <w:r w:rsidRPr="00A02016">
        <w:rPr>
          <w:i/>
          <w:noProof/>
          <w:color w:val="4F81BD" w:themeColor="accent1"/>
          <w:lang w:val="es-MX" w:eastAsia="es-MX"/>
        </w:rPr>
        <w:t xml:space="preserve">A. Poner a disposición cinco (5)Ç fojas con lo solicitado, pero las cantidades pgadas a los docentes no son probadas debidamente con sus actuaciones de sinodos, tanto del 29-NOV-2016 como con el 28-FEB-2017, pero además ls tiene publicadas en las lostas de cheques, por lo que menciono los pagos a tres (3) docentes que son incompletos y erroneos, según el calemdario de examenes profesionales y son: (…) con menos y más recursos no comprobados. </w:t>
      </w:r>
    </w:p>
    <w:p w:rsidR="00636AE7" w:rsidRPr="00A02016" w:rsidRDefault="00636AE7" w:rsidP="00412DE5">
      <w:pPr>
        <w:pStyle w:val="Textoindependienteprimerasangra"/>
        <w:spacing w:before="240" w:line="240" w:lineRule="auto"/>
        <w:ind w:left="709" w:firstLine="708"/>
        <w:rPr>
          <w:i/>
          <w:noProof/>
          <w:color w:val="4F81BD" w:themeColor="accent1"/>
          <w:lang w:val="es-MX" w:eastAsia="es-MX"/>
        </w:rPr>
      </w:pPr>
      <w:r w:rsidRPr="00A02016">
        <w:rPr>
          <w:i/>
          <w:noProof/>
          <w:color w:val="4F81BD" w:themeColor="accent1"/>
          <w:lang w:val="es-MX" w:eastAsia="es-MX"/>
        </w:rPr>
        <w:t>B. En los exámenes profesionales del 28-FEB-2017, se le pago a una docente $2,000.00 pesos extras sin decir porque???, cuando su actuación fue de presidente y le corresponde $800.00 pesos.</w:t>
      </w:r>
    </w:p>
    <w:p w:rsidR="00412DE5" w:rsidRPr="00A02016" w:rsidRDefault="00636AE7" w:rsidP="00412DE5">
      <w:pPr>
        <w:pStyle w:val="Textoindependienteprimerasangra"/>
        <w:spacing w:before="240" w:line="240" w:lineRule="auto"/>
        <w:ind w:left="709" w:firstLine="708"/>
        <w:rPr>
          <w:i/>
          <w:noProof/>
          <w:color w:val="4F81BD" w:themeColor="accent1"/>
          <w:lang w:val="es-MX" w:eastAsia="es-MX"/>
        </w:rPr>
      </w:pPr>
      <w:r w:rsidRPr="00A02016">
        <w:rPr>
          <w:i/>
          <w:noProof/>
          <w:color w:val="4F81BD" w:themeColor="accent1"/>
          <w:lang w:val="es-MX" w:eastAsia="es-MX"/>
        </w:rPr>
        <w:t>C. En los listados de cheques se encuentran las cantidades con los pagos que no corresponden por: $4, 100.00, $500.00, $3, 300 y $2,800 pesos de cuatro (4) docentes beneficiadas y perjudicada, por mencionar algunas</w:t>
      </w:r>
      <w:r w:rsidR="00412DE5" w:rsidRPr="00A02016">
        <w:rPr>
          <w:i/>
          <w:noProof/>
          <w:color w:val="4F81BD" w:themeColor="accent1"/>
          <w:lang w:val="es-MX" w:eastAsia="es-MX"/>
        </w:rPr>
        <w:t>, pero esta la de la docente (…), quien causo baja y recibió cheque por la cantidad de $500.00 pesos, cobrado el 30-NOV-2016, cuando en la relación del 29-NOV-2016, no recibió nada… ¿Qué paso?.</w:t>
      </w:r>
    </w:p>
    <w:p w:rsidR="00412DE5" w:rsidRPr="00A02016" w:rsidRDefault="00412DE5" w:rsidP="00412DE5">
      <w:pPr>
        <w:pStyle w:val="Textoindependienteprimerasangra"/>
        <w:spacing w:before="240" w:line="240" w:lineRule="auto"/>
        <w:ind w:left="709" w:firstLine="708"/>
        <w:rPr>
          <w:i/>
          <w:noProof/>
          <w:color w:val="4F81BD" w:themeColor="accent1"/>
          <w:lang w:val="es-MX" w:eastAsia="es-MX"/>
        </w:rPr>
      </w:pPr>
      <w:r w:rsidRPr="00A02016">
        <w:rPr>
          <w:i/>
          <w:noProof/>
          <w:color w:val="4F81BD" w:themeColor="accent1"/>
          <w:lang w:val="es-MX" w:eastAsia="es-MX"/>
        </w:rPr>
        <w:t>Cabe aclarar que el sujeto obligado no dice de que geeración son todos los docentes que presentaron exámenes profesionales en las fechas citadas y menos porque los presentaron en esas fechas y no en julio de 2016, como todos los graduados, por lo que la información resultó incompleta…”.</w:t>
      </w:r>
    </w:p>
    <w:p w:rsidR="00636AE7" w:rsidRPr="00A02016" w:rsidRDefault="00412DE5" w:rsidP="00412DE5">
      <w:pPr>
        <w:pStyle w:val="Textoindependienteprimerasangra"/>
        <w:spacing w:before="240" w:line="240" w:lineRule="auto"/>
        <w:ind w:left="709" w:firstLine="708"/>
        <w:jc w:val="left"/>
        <w:rPr>
          <w:i/>
          <w:noProof/>
          <w:color w:val="4F81BD" w:themeColor="accent1"/>
          <w:lang w:val="es-MX" w:eastAsia="es-MX"/>
        </w:rPr>
      </w:pPr>
      <w:r w:rsidRPr="00A02016">
        <w:rPr>
          <w:i/>
          <w:noProof/>
          <w:color w:val="4F81BD" w:themeColor="accent1"/>
          <w:lang w:val="es-MX" w:eastAsia="es-MX"/>
        </w:rPr>
        <w:t xml:space="preserve"> </w:t>
      </w:r>
      <w:r w:rsidR="00636AE7" w:rsidRPr="00A02016">
        <w:rPr>
          <w:i/>
          <w:noProof/>
          <w:color w:val="4F81BD" w:themeColor="accent1"/>
          <w:lang w:val="es-MX" w:eastAsia="es-MX"/>
        </w:rPr>
        <w:t xml:space="preserve">  </w:t>
      </w:r>
    </w:p>
    <w:p w:rsidR="004602D7" w:rsidRPr="00A02016" w:rsidRDefault="00547C44" w:rsidP="00B91518">
      <w:pPr>
        <w:spacing w:after="240"/>
        <w:rPr>
          <w:rFonts w:ascii="Arial" w:hAnsi="Arial" w:cs="Arial"/>
          <w:color w:val="4F81BD" w:themeColor="accent1"/>
          <w:sz w:val="24"/>
        </w:rPr>
      </w:pPr>
      <w:r w:rsidRPr="00A02016">
        <w:rPr>
          <w:rFonts w:ascii="Arial" w:hAnsi="Arial" w:cs="Arial"/>
          <w:color w:val="4F81BD" w:themeColor="accent1"/>
          <w:sz w:val="24"/>
        </w:rPr>
        <w:tab/>
      </w:r>
      <w:r w:rsidRPr="00A02016">
        <w:rPr>
          <w:rFonts w:ascii="Arial" w:hAnsi="Arial" w:cs="Arial"/>
          <w:b/>
          <w:color w:val="4F81BD" w:themeColor="accent1"/>
          <w:sz w:val="24"/>
        </w:rPr>
        <w:t>CUARTO. Turno.</w:t>
      </w:r>
      <w:r w:rsidRPr="00A02016">
        <w:rPr>
          <w:rFonts w:ascii="Arial" w:hAnsi="Arial" w:cs="Arial"/>
          <w:color w:val="4F81BD" w:themeColor="accent1"/>
          <w:sz w:val="24"/>
        </w:rPr>
        <w:t xml:space="preserve"> De conformidad con el artículo 174, fracción I de la Ley de Transparencia y Acceso a la Información Pública del Estado, el recurso de revisión </w:t>
      </w:r>
      <w:r w:rsidRPr="00A02016">
        <w:rPr>
          <w:rFonts w:ascii="Arial" w:hAnsi="Arial" w:cs="Arial"/>
          <w:b/>
          <w:color w:val="4F81BD" w:themeColor="accent1"/>
          <w:sz w:val="24"/>
        </w:rPr>
        <w:t>R</w:t>
      </w:r>
      <w:r w:rsidR="00412DE5" w:rsidRPr="00A02016">
        <w:rPr>
          <w:rFonts w:ascii="Arial" w:hAnsi="Arial" w:cs="Arial"/>
          <w:b/>
          <w:color w:val="4F81BD" w:themeColor="accent1"/>
          <w:sz w:val="24"/>
        </w:rPr>
        <w:t>R-009/2018</w:t>
      </w:r>
      <w:r w:rsidRPr="00A02016">
        <w:rPr>
          <w:rFonts w:ascii="Arial" w:hAnsi="Arial" w:cs="Arial"/>
          <w:b/>
          <w:color w:val="4F81BD" w:themeColor="accent1"/>
          <w:sz w:val="24"/>
        </w:rPr>
        <w:t>-3</w:t>
      </w:r>
      <w:r w:rsidR="00EC02D9" w:rsidRPr="00A02016">
        <w:rPr>
          <w:rFonts w:ascii="Arial" w:hAnsi="Arial" w:cs="Arial"/>
          <w:b/>
          <w:color w:val="4F81BD" w:themeColor="accent1"/>
          <w:sz w:val="24"/>
        </w:rPr>
        <w:t>,</w:t>
      </w:r>
      <w:r w:rsidRPr="00A02016">
        <w:rPr>
          <w:rFonts w:ascii="Arial" w:hAnsi="Arial" w:cs="Arial"/>
          <w:color w:val="4F81BD" w:themeColor="accent1"/>
          <w:sz w:val="24"/>
        </w:rPr>
        <w:t xml:space="preserve"> fue turnado a la Comisionada Ponente, para que sustanciara el periodo de instrucción, y en su momento presentara al Pleno el proyecto de resolución correspondiente.</w:t>
      </w:r>
    </w:p>
    <w:p w:rsidR="00547C44" w:rsidRPr="00A02016" w:rsidRDefault="00547C44" w:rsidP="00B91518">
      <w:pPr>
        <w:spacing w:after="240"/>
        <w:rPr>
          <w:rFonts w:ascii="Arial" w:hAnsi="Arial" w:cs="Arial"/>
          <w:color w:val="4F81BD" w:themeColor="accent1"/>
          <w:sz w:val="24"/>
        </w:rPr>
      </w:pPr>
      <w:r w:rsidRPr="00A02016">
        <w:rPr>
          <w:rFonts w:ascii="Arial" w:hAnsi="Arial" w:cs="Arial"/>
          <w:b/>
          <w:color w:val="4F81BD" w:themeColor="accent1"/>
          <w:sz w:val="24"/>
        </w:rPr>
        <w:tab/>
        <w:t xml:space="preserve">QUINTO. Admisión. </w:t>
      </w:r>
      <w:r w:rsidRPr="00A02016">
        <w:rPr>
          <w:rFonts w:ascii="Arial" w:hAnsi="Arial" w:cs="Arial"/>
          <w:color w:val="4F81BD" w:themeColor="accent1"/>
          <w:sz w:val="24"/>
        </w:rPr>
        <w:t xml:space="preserve">El </w:t>
      </w:r>
      <w:r w:rsidR="00412DE5" w:rsidRPr="00A02016">
        <w:rPr>
          <w:rFonts w:ascii="Arial" w:hAnsi="Arial" w:cs="Arial"/>
          <w:color w:val="4F81BD" w:themeColor="accent1"/>
          <w:sz w:val="24"/>
        </w:rPr>
        <w:t>diecisiete de enero de dos mil dieciocho</w:t>
      </w:r>
      <w:r w:rsidRPr="00A02016">
        <w:rPr>
          <w:rFonts w:ascii="Arial" w:hAnsi="Arial" w:cs="Arial"/>
          <w:color w:val="4F81BD" w:themeColor="accent1"/>
          <w:sz w:val="24"/>
        </w:rPr>
        <w:t xml:space="preserve">, esta Comisión, con base en el artículo 174, fracción II de la Ley de Transparencia del Estado, admitió el presente medio de impugnación, a fin de integrar el expediente respectivo y ponerlo a disposición de las partes para que en el plazo que reconoce la ley manifestaran y ofrecieran las pruebas que a su derecho correspondía. </w:t>
      </w:r>
    </w:p>
    <w:p w:rsidR="004602D7" w:rsidRPr="00A02016" w:rsidRDefault="00547C44" w:rsidP="00B91518">
      <w:pPr>
        <w:spacing w:before="240" w:after="240"/>
        <w:rPr>
          <w:rFonts w:ascii="Arial" w:hAnsi="Arial" w:cs="Arial"/>
          <w:color w:val="4F81BD" w:themeColor="accent1"/>
          <w:sz w:val="24"/>
        </w:rPr>
      </w:pPr>
      <w:r w:rsidRPr="00A02016">
        <w:rPr>
          <w:rFonts w:ascii="Arial" w:hAnsi="Arial" w:cs="Arial"/>
          <w:b/>
          <w:color w:val="4F81BD" w:themeColor="accent1"/>
          <w:sz w:val="24"/>
        </w:rPr>
        <w:tab/>
        <w:t xml:space="preserve">SEXTO. </w:t>
      </w:r>
      <w:r w:rsidR="00BD5377" w:rsidRPr="00A02016">
        <w:rPr>
          <w:rFonts w:ascii="Arial" w:hAnsi="Arial" w:cs="Arial"/>
          <w:b/>
          <w:color w:val="4F81BD" w:themeColor="accent1"/>
          <w:sz w:val="24"/>
        </w:rPr>
        <w:t>Manifestaciones de las partes</w:t>
      </w:r>
      <w:r w:rsidRPr="00A02016">
        <w:rPr>
          <w:rFonts w:ascii="Arial" w:hAnsi="Arial" w:cs="Arial"/>
          <w:b/>
          <w:color w:val="4F81BD" w:themeColor="accent1"/>
          <w:sz w:val="24"/>
        </w:rPr>
        <w:t xml:space="preserve">. </w:t>
      </w:r>
      <w:r w:rsidRPr="00A02016">
        <w:rPr>
          <w:rFonts w:ascii="Arial" w:hAnsi="Arial" w:cs="Arial"/>
          <w:color w:val="4F81BD" w:themeColor="accent1"/>
          <w:sz w:val="24"/>
        </w:rPr>
        <w:t xml:space="preserve">El </w:t>
      </w:r>
      <w:r w:rsidR="00412DE5" w:rsidRPr="00A02016">
        <w:rPr>
          <w:rFonts w:ascii="Arial" w:hAnsi="Arial" w:cs="Arial"/>
          <w:color w:val="4F81BD" w:themeColor="accent1"/>
          <w:sz w:val="24"/>
        </w:rPr>
        <w:t>veintinueve de enero de dos mil dieciocho</w:t>
      </w:r>
      <w:r w:rsidRPr="00A02016">
        <w:rPr>
          <w:rFonts w:ascii="Arial" w:hAnsi="Arial" w:cs="Arial"/>
          <w:color w:val="4F81BD" w:themeColor="accent1"/>
          <w:sz w:val="24"/>
        </w:rPr>
        <w:t>, se emitió un acuerdo po</w:t>
      </w:r>
      <w:r w:rsidR="00412DE5" w:rsidRPr="00A02016">
        <w:rPr>
          <w:rFonts w:ascii="Arial" w:hAnsi="Arial" w:cs="Arial"/>
          <w:color w:val="4F81BD" w:themeColor="accent1"/>
          <w:sz w:val="24"/>
        </w:rPr>
        <w:t>r el cual se tuvo</w:t>
      </w:r>
      <w:r w:rsidR="00C9337E" w:rsidRPr="00A02016">
        <w:rPr>
          <w:rFonts w:ascii="Arial" w:hAnsi="Arial" w:cs="Arial"/>
          <w:color w:val="4F81BD" w:themeColor="accent1"/>
          <w:sz w:val="24"/>
        </w:rPr>
        <w:t xml:space="preserve"> por recibido </w:t>
      </w:r>
      <w:r w:rsidR="00412DE5" w:rsidRPr="00A02016">
        <w:rPr>
          <w:rFonts w:ascii="Arial" w:hAnsi="Arial" w:cs="Arial"/>
          <w:color w:val="4F81BD" w:themeColor="accent1"/>
          <w:sz w:val="24"/>
        </w:rPr>
        <w:t xml:space="preserve">el </w:t>
      </w:r>
      <w:r w:rsidR="00C9337E" w:rsidRPr="00A02016">
        <w:rPr>
          <w:rFonts w:ascii="Arial" w:hAnsi="Arial" w:cs="Arial"/>
          <w:color w:val="4F81BD" w:themeColor="accent1"/>
          <w:sz w:val="24"/>
        </w:rPr>
        <w:t>oficio</w:t>
      </w:r>
      <w:r w:rsidR="00694838" w:rsidRPr="00A02016">
        <w:rPr>
          <w:rFonts w:ascii="Arial" w:hAnsi="Arial" w:cs="Arial"/>
          <w:color w:val="4F81BD" w:themeColor="accent1"/>
          <w:sz w:val="24"/>
        </w:rPr>
        <w:t xml:space="preserve"> </w:t>
      </w:r>
      <w:r w:rsidR="007D239B" w:rsidRPr="00A02016">
        <w:rPr>
          <w:rFonts w:ascii="Arial" w:hAnsi="Arial" w:cs="Arial"/>
          <w:color w:val="4F81BD" w:themeColor="accent1"/>
          <w:sz w:val="24"/>
        </w:rPr>
        <w:t>DG</w:t>
      </w:r>
      <w:r w:rsidR="00412DE5" w:rsidRPr="00A02016">
        <w:rPr>
          <w:rFonts w:ascii="Arial" w:hAnsi="Arial" w:cs="Arial"/>
          <w:color w:val="4F81BD" w:themeColor="accent1"/>
          <w:sz w:val="24"/>
        </w:rPr>
        <w:t>-062/2018</w:t>
      </w:r>
      <w:r w:rsidR="00467BF1" w:rsidRPr="00A02016">
        <w:rPr>
          <w:rFonts w:ascii="Arial" w:hAnsi="Arial" w:cs="Arial"/>
          <w:color w:val="4F81BD" w:themeColor="accent1"/>
          <w:sz w:val="24"/>
        </w:rPr>
        <w:t xml:space="preserve">, </w:t>
      </w:r>
      <w:r w:rsidR="008F190D" w:rsidRPr="00A02016">
        <w:rPr>
          <w:rFonts w:ascii="Arial" w:hAnsi="Arial" w:cs="Arial"/>
          <w:color w:val="4F81BD" w:themeColor="accent1"/>
          <w:sz w:val="24"/>
        </w:rPr>
        <w:t>signado</w:t>
      </w:r>
      <w:r w:rsidR="007D239B" w:rsidRPr="00A02016">
        <w:rPr>
          <w:rFonts w:ascii="Arial" w:hAnsi="Arial" w:cs="Arial"/>
          <w:color w:val="4F81BD" w:themeColor="accent1"/>
          <w:sz w:val="24"/>
        </w:rPr>
        <w:t xml:space="preserve"> por el </w:t>
      </w:r>
      <w:r w:rsidR="00694838" w:rsidRPr="00A02016">
        <w:rPr>
          <w:rFonts w:ascii="Arial" w:hAnsi="Arial" w:cs="Arial"/>
          <w:color w:val="4F81BD" w:themeColor="accent1"/>
          <w:sz w:val="24"/>
        </w:rPr>
        <w:t xml:space="preserve">Titular de la Unidad de </w:t>
      </w:r>
      <w:r w:rsidR="00412DE5" w:rsidRPr="00A02016">
        <w:rPr>
          <w:rFonts w:ascii="Arial" w:hAnsi="Arial" w:cs="Arial"/>
          <w:color w:val="4F81BD" w:themeColor="accent1"/>
          <w:sz w:val="24"/>
        </w:rPr>
        <w:t>Transparencia del Sistema Educativo Estatal Regular</w:t>
      </w:r>
      <w:r w:rsidR="008F190D" w:rsidRPr="00A02016">
        <w:rPr>
          <w:rFonts w:ascii="Arial" w:hAnsi="Arial" w:cs="Arial"/>
          <w:color w:val="4F81BD" w:themeColor="accent1"/>
          <w:sz w:val="24"/>
        </w:rPr>
        <w:t xml:space="preserve">, </w:t>
      </w:r>
      <w:r w:rsidR="00412DE5" w:rsidRPr="00A02016">
        <w:rPr>
          <w:rFonts w:ascii="Arial" w:hAnsi="Arial" w:cs="Arial"/>
          <w:color w:val="4F81BD" w:themeColor="accent1"/>
          <w:sz w:val="24"/>
        </w:rPr>
        <w:t>el</w:t>
      </w:r>
      <w:r w:rsidR="00545919" w:rsidRPr="00A02016">
        <w:rPr>
          <w:rFonts w:ascii="Arial" w:hAnsi="Arial" w:cs="Arial"/>
          <w:color w:val="4F81BD" w:themeColor="accent1"/>
          <w:sz w:val="24"/>
        </w:rPr>
        <w:t xml:space="preserve"> cual</w:t>
      </w:r>
      <w:r w:rsidR="00694838" w:rsidRPr="00A02016">
        <w:rPr>
          <w:rFonts w:ascii="Arial" w:hAnsi="Arial" w:cs="Arial"/>
          <w:color w:val="4F81BD" w:themeColor="accent1"/>
          <w:sz w:val="24"/>
        </w:rPr>
        <w:t xml:space="preserve"> se tu</w:t>
      </w:r>
      <w:r w:rsidR="00412DE5" w:rsidRPr="00A02016">
        <w:rPr>
          <w:rFonts w:ascii="Arial" w:hAnsi="Arial" w:cs="Arial"/>
          <w:color w:val="4F81BD" w:themeColor="accent1"/>
          <w:sz w:val="24"/>
        </w:rPr>
        <w:t>v</w:t>
      </w:r>
      <w:r w:rsidR="00694838" w:rsidRPr="00A02016">
        <w:rPr>
          <w:rFonts w:ascii="Arial" w:hAnsi="Arial" w:cs="Arial"/>
          <w:color w:val="4F81BD" w:themeColor="accent1"/>
          <w:sz w:val="24"/>
        </w:rPr>
        <w:t>o</w:t>
      </w:r>
      <w:r w:rsidR="00545919" w:rsidRPr="00A02016">
        <w:rPr>
          <w:rFonts w:ascii="Arial" w:hAnsi="Arial" w:cs="Arial"/>
          <w:color w:val="4F81BD" w:themeColor="accent1"/>
          <w:sz w:val="24"/>
        </w:rPr>
        <w:t xml:space="preserve"> por recibido en </w:t>
      </w:r>
      <w:r w:rsidR="00467BF1" w:rsidRPr="00A02016">
        <w:rPr>
          <w:rFonts w:ascii="Arial" w:hAnsi="Arial" w:cs="Arial"/>
          <w:color w:val="4F81BD" w:themeColor="accent1"/>
          <w:sz w:val="24"/>
        </w:rPr>
        <w:t>tiempo</w:t>
      </w:r>
      <w:r w:rsidR="00EA4EC8" w:rsidRPr="00A02016">
        <w:rPr>
          <w:rFonts w:ascii="Arial" w:hAnsi="Arial" w:cs="Arial"/>
          <w:color w:val="4F81BD" w:themeColor="accent1"/>
          <w:sz w:val="24"/>
        </w:rPr>
        <w:t>,</w:t>
      </w:r>
      <w:r w:rsidR="00545919" w:rsidRPr="00A02016">
        <w:rPr>
          <w:rFonts w:ascii="Arial" w:hAnsi="Arial" w:cs="Arial"/>
          <w:color w:val="4F81BD" w:themeColor="accent1"/>
          <w:sz w:val="24"/>
        </w:rPr>
        <w:t xml:space="preserve"> acorde a la </w:t>
      </w:r>
      <w:r w:rsidR="00092EBF" w:rsidRPr="00A02016">
        <w:rPr>
          <w:rFonts w:ascii="Arial" w:hAnsi="Arial" w:cs="Arial"/>
          <w:color w:val="4F81BD" w:themeColor="accent1"/>
          <w:sz w:val="24"/>
        </w:rPr>
        <w:t>c</w:t>
      </w:r>
      <w:r w:rsidR="00EA67BA" w:rsidRPr="00A02016">
        <w:rPr>
          <w:rFonts w:ascii="Arial" w:hAnsi="Arial" w:cs="Arial"/>
          <w:color w:val="4F81BD" w:themeColor="accent1"/>
          <w:sz w:val="24"/>
        </w:rPr>
        <w:t xml:space="preserve">ertificación </w:t>
      </w:r>
      <w:r w:rsidR="00412DE5" w:rsidRPr="00A02016">
        <w:rPr>
          <w:rFonts w:ascii="Arial" w:hAnsi="Arial" w:cs="Arial"/>
          <w:color w:val="4F81BD" w:themeColor="accent1"/>
          <w:sz w:val="24"/>
        </w:rPr>
        <w:t>que obra a foja 27</w:t>
      </w:r>
      <w:r w:rsidR="00545919" w:rsidRPr="00A02016">
        <w:rPr>
          <w:rFonts w:ascii="Arial" w:hAnsi="Arial" w:cs="Arial"/>
          <w:color w:val="4F81BD" w:themeColor="accent1"/>
          <w:sz w:val="24"/>
        </w:rPr>
        <w:t xml:space="preserve"> del presente sumario, por lo que el ente obligado realizó las manifes</w:t>
      </w:r>
      <w:r w:rsidR="00FA039E" w:rsidRPr="00A02016">
        <w:rPr>
          <w:rFonts w:ascii="Arial" w:hAnsi="Arial" w:cs="Arial"/>
          <w:color w:val="4F81BD" w:themeColor="accent1"/>
          <w:sz w:val="24"/>
        </w:rPr>
        <w:t>taciones que a su derecho estimó</w:t>
      </w:r>
      <w:r w:rsidR="00467BF1" w:rsidRPr="00A02016">
        <w:rPr>
          <w:rFonts w:ascii="Arial" w:hAnsi="Arial" w:cs="Arial"/>
          <w:color w:val="4F81BD" w:themeColor="accent1"/>
          <w:sz w:val="24"/>
        </w:rPr>
        <w:t xml:space="preserve"> conveniente</w:t>
      </w:r>
      <w:r w:rsidR="000050A2" w:rsidRPr="00A02016">
        <w:rPr>
          <w:rFonts w:ascii="Arial" w:hAnsi="Arial" w:cs="Arial"/>
          <w:color w:val="4F81BD" w:themeColor="accent1"/>
          <w:sz w:val="24"/>
        </w:rPr>
        <w:t>.</w:t>
      </w:r>
    </w:p>
    <w:p w:rsidR="00547C44" w:rsidRPr="00A02016" w:rsidRDefault="00547C44" w:rsidP="00B91518">
      <w:pPr>
        <w:rPr>
          <w:rFonts w:ascii="Arial" w:hAnsi="Arial" w:cs="Arial"/>
          <w:color w:val="4F81BD" w:themeColor="accent1"/>
          <w:sz w:val="24"/>
        </w:rPr>
      </w:pPr>
      <w:r w:rsidRPr="00A02016">
        <w:rPr>
          <w:rFonts w:ascii="Arial" w:hAnsi="Arial" w:cs="Arial"/>
          <w:color w:val="4F81BD" w:themeColor="accent1"/>
          <w:sz w:val="24"/>
        </w:rPr>
        <w:tab/>
        <w:t xml:space="preserve">Por lo que toca al </w:t>
      </w:r>
      <w:r w:rsidR="00545919" w:rsidRPr="00A02016">
        <w:rPr>
          <w:rFonts w:ascii="Arial" w:hAnsi="Arial" w:cs="Arial"/>
          <w:color w:val="4F81BD" w:themeColor="accent1"/>
          <w:sz w:val="24"/>
        </w:rPr>
        <w:t>inconforme</w:t>
      </w:r>
      <w:r w:rsidRPr="00A02016">
        <w:rPr>
          <w:rFonts w:ascii="Arial" w:hAnsi="Arial" w:cs="Arial"/>
          <w:color w:val="4F81BD" w:themeColor="accent1"/>
          <w:sz w:val="24"/>
        </w:rPr>
        <w:t>, éste no hizo uso de su derecho contenido en el artículo 174, fracción III de la Ley de Transparencia del Estado.</w:t>
      </w:r>
    </w:p>
    <w:p w:rsidR="005C273C" w:rsidRPr="00A02016" w:rsidRDefault="00547C44" w:rsidP="00B91518">
      <w:pPr>
        <w:spacing w:before="240"/>
        <w:rPr>
          <w:rFonts w:ascii="Arial" w:hAnsi="Arial" w:cs="Arial"/>
          <w:color w:val="4F81BD" w:themeColor="accent1"/>
          <w:sz w:val="24"/>
        </w:rPr>
      </w:pPr>
      <w:r w:rsidRPr="00A02016">
        <w:rPr>
          <w:rFonts w:ascii="Arial" w:hAnsi="Arial" w:cs="Arial"/>
          <w:color w:val="4F81BD" w:themeColor="accent1"/>
          <w:sz w:val="24"/>
        </w:rPr>
        <w:tab/>
      </w:r>
      <w:r w:rsidRPr="00A02016">
        <w:rPr>
          <w:rFonts w:ascii="Arial" w:hAnsi="Arial" w:cs="Arial"/>
          <w:b/>
          <w:color w:val="4F81BD" w:themeColor="accent1"/>
          <w:sz w:val="24"/>
        </w:rPr>
        <w:t xml:space="preserve">SEPTIMO. Cierre de Instrucción. </w:t>
      </w:r>
      <w:r w:rsidRPr="00A02016">
        <w:rPr>
          <w:rFonts w:ascii="Arial" w:hAnsi="Arial" w:cs="Arial"/>
          <w:color w:val="4F81BD" w:themeColor="accent1"/>
          <w:sz w:val="24"/>
        </w:rPr>
        <w:t xml:space="preserve">El </w:t>
      </w:r>
      <w:r w:rsidR="00412DE5" w:rsidRPr="00A02016">
        <w:rPr>
          <w:rFonts w:ascii="Arial" w:hAnsi="Arial" w:cs="Arial"/>
          <w:color w:val="4F81BD" w:themeColor="accent1"/>
          <w:sz w:val="24"/>
        </w:rPr>
        <w:t>dos de febrero de dos mil dieciocho</w:t>
      </w:r>
      <w:r w:rsidRPr="00A02016">
        <w:rPr>
          <w:rFonts w:ascii="Arial" w:hAnsi="Arial" w:cs="Arial"/>
          <w:color w:val="4F81BD" w:themeColor="accent1"/>
          <w:sz w:val="24"/>
        </w:rPr>
        <w:t>, se decretó el Cierre de Instrucción del expediente formado con motivo del presente recurso de revisión, a fin de que la ponente presentara el proyecto de resolución correspondiente.</w:t>
      </w:r>
    </w:p>
    <w:p w:rsidR="004602D7" w:rsidRPr="00A02016" w:rsidRDefault="00547C44" w:rsidP="00B91518">
      <w:pPr>
        <w:spacing w:before="240"/>
        <w:jc w:val="center"/>
        <w:outlineLvl w:val="0"/>
        <w:rPr>
          <w:rFonts w:ascii="Arial" w:hAnsi="Arial" w:cs="Arial"/>
          <w:b/>
          <w:color w:val="4F81BD" w:themeColor="accent1"/>
          <w:sz w:val="24"/>
        </w:rPr>
      </w:pPr>
      <w:r w:rsidRPr="00A02016">
        <w:rPr>
          <w:rFonts w:ascii="Arial" w:hAnsi="Arial" w:cs="Arial"/>
          <w:b/>
          <w:color w:val="4F81BD" w:themeColor="accent1"/>
          <w:sz w:val="24"/>
        </w:rPr>
        <w:t>C O N S I D E R A N D O</w:t>
      </w:r>
    </w:p>
    <w:p w:rsidR="00462354" w:rsidRPr="00A02016" w:rsidRDefault="00547C44" w:rsidP="00B91518">
      <w:pPr>
        <w:pStyle w:val="Textoindependienteprimerasangra"/>
        <w:spacing w:after="0"/>
        <w:ind w:firstLine="900"/>
        <w:rPr>
          <w:rFonts w:ascii="Arial" w:hAnsi="Arial" w:cs="Arial"/>
          <w:color w:val="4F81BD" w:themeColor="accent1"/>
          <w:sz w:val="24"/>
        </w:rPr>
      </w:pPr>
      <w:r w:rsidRPr="00A02016">
        <w:rPr>
          <w:rFonts w:ascii="Arial" w:eastAsia="Arial Unicode MS" w:hAnsi="Arial" w:cs="Arial"/>
          <w:b/>
          <w:color w:val="4F81BD" w:themeColor="accent1"/>
          <w:sz w:val="24"/>
        </w:rPr>
        <w:t>PRIMERO. Competencia.</w:t>
      </w:r>
      <w:r w:rsidRPr="00A02016">
        <w:rPr>
          <w:rFonts w:ascii="Arial" w:eastAsia="Arial Unicode MS" w:hAnsi="Arial" w:cs="Arial"/>
          <w:color w:val="4F81BD" w:themeColor="accent1"/>
          <w:sz w:val="24"/>
        </w:rPr>
        <w:t xml:space="preserve"> El Pleno de esta Comisión Estatal de Garantía de Acceso a la Información Pública es competente para resolver el presente recurso de revisión de conformidad c</w:t>
      </w:r>
      <w:r w:rsidR="00A60313" w:rsidRPr="00A02016">
        <w:rPr>
          <w:rFonts w:ascii="Arial" w:eastAsia="Arial Unicode MS" w:hAnsi="Arial" w:cs="Arial"/>
          <w:color w:val="4F81BD" w:themeColor="accent1"/>
          <w:sz w:val="24"/>
        </w:rPr>
        <w:t>on los artículos 6°, apartado A</w:t>
      </w:r>
      <w:r w:rsidRPr="00A02016">
        <w:rPr>
          <w:rFonts w:ascii="Arial" w:eastAsia="Arial Unicode MS" w:hAnsi="Arial" w:cs="Arial"/>
          <w:color w:val="4F81BD" w:themeColor="accent1"/>
          <w:sz w:val="24"/>
        </w:rPr>
        <w:t>, fracción IV de la Constitución Política de los Estados Unidos Mexicanos; 17, fracción III, párrafo tercero de la Constitución Política del Estado Libre y Soberano de San Luis Potosí; 37, 42, fracciones I y II, 142 y 151 de la Ley General de Transparencia y Acceso a la Información Pública; 27, 34, fracciones I y II, 166 y 175 de la Ley de Transparencia y Acceso a la Información Públic</w:t>
      </w:r>
      <w:r w:rsidR="00462354" w:rsidRPr="00A02016">
        <w:rPr>
          <w:rFonts w:ascii="Arial" w:eastAsia="Arial Unicode MS" w:hAnsi="Arial" w:cs="Arial"/>
          <w:color w:val="4F81BD" w:themeColor="accent1"/>
          <w:sz w:val="24"/>
        </w:rPr>
        <w:t>a del Estado de San Luis Potosí; así como de los artículos 1°, 2°, 9°, 12, fracciones XI y XXV del Reglamento Interior de la Comisión Estatal de Garantía de Acceso a la Información Pública.</w:t>
      </w:r>
    </w:p>
    <w:p w:rsidR="00EE226A" w:rsidRPr="00A02016" w:rsidRDefault="0072714A" w:rsidP="00B91518">
      <w:pPr>
        <w:pStyle w:val="Textoindependienteprimerasangra"/>
        <w:spacing w:before="240"/>
        <w:ind w:firstLine="900"/>
        <w:rPr>
          <w:rFonts w:ascii="Arial" w:eastAsia="Arial Unicode MS" w:hAnsi="Arial" w:cs="Arial"/>
          <w:color w:val="4F81BD" w:themeColor="accent1"/>
          <w:sz w:val="24"/>
        </w:rPr>
      </w:pPr>
      <w:r w:rsidRPr="00A02016">
        <w:rPr>
          <w:rFonts w:ascii="Arial" w:eastAsia="Arial Unicode MS" w:hAnsi="Arial" w:cs="Arial"/>
          <w:b/>
          <w:color w:val="4F81BD" w:themeColor="accent1"/>
          <w:sz w:val="24"/>
        </w:rPr>
        <w:t xml:space="preserve">SEGUNDO. </w:t>
      </w:r>
      <w:proofErr w:type="spellStart"/>
      <w:r w:rsidRPr="00A02016">
        <w:rPr>
          <w:rFonts w:ascii="Arial" w:eastAsia="Arial Unicode MS" w:hAnsi="Arial" w:cs="Arial"/>
          <w:b/>
          <w:color w:val="4F81BD" w:themeColor="accent1"/>
          <w:sz w:val="24"/>
        </w:rPr>
        <w:t>Procedibilidad</w:t>
      </w:r>
      <w:proofErr w:type="spellEnd"/>
      <w:r w:rsidRPr="00A02016">
        <w:rPr>
          <w:rFonts w:ascii="Arial" w:eastAsia="Arial Unicode MS" w:hAnsi="Arial" w:cs="Arial"/>
          <w:b/>
          <w:color w:val="4F81BD" w:themeColor="accent1"/>
          <w:sz w:val="24"/>
        </w:rPr>
        <w:t xml:space="preserve"> y Oportunidad. </w:t>
      </w:r>
      <w:r w:rsidRPr="00A02016">
        <w:rPr>
          <w:rFonts w:ascii="Arial" w:eastAsia="Arial Unicode MS" w:hAnsi="Arial" w:cs="Arial"/>
          <w:color w:val="4F81BD" w:themeColor="accent1"/>
          <w:sz w:val="24"/>
        </w:rPr>
        <w:t xml:space="preserve">Previo al estudio de fondo del asunto, se procede a analizar los requisitos de oportunidad y </w:t>
      </w:r>
      <w:proofErr w:type="spellStart"/>
      <w:r w:rsidRPr="00A02016">
        <w:rPr>
          <w:rFonts w:ascii="Arial" w:eastAsia="Arial Unicode MS" w:hAnsi="Arial" w:cs="Arial"/>
          <w:color w:val="4F81BD" w:themeColor="accent1"/>
          <w:sz w:val="24"/>
        </w:rPr>
        <w:t>procedibilidad</w:t>
      </w:r>
      <w:proofErr w:type="spellEnd"/>
      <w:r w:rsidRPr="00A02016">
        <w:rPr>
          <w:rFonts w:ascii="Arial" w:eastAsia="Arial Unicode MS" w:hAnsi="Arial" w:cs="Arial"/>
          <w:color w:val="4F81BD" w:themeColor="accent1"/>
          <w:sz w:val="24"/>
        </w:rPr>
        <w:t xml:space="preserve"> que debe reunir el presente medio de impugnación, los cuales están previstos en los artículos 166 y 168 de la Ley de Transparencia y Acceso a la Información Pública del Estado de San Luis Potosí.</w:t>
      </w:r>
    </w:p>
    <w:p w:rsidR="00EA67BA" w:rsidRPr="00A02016" w:rsidRDefault="00EA67BA" w:rsidP="00B91518">
      <w:pPr>
        <w:pStyle w:val="Textoindependienteprimerasangra"/>
        <w:spacing w:before="240"/>
        <w:ind w:firstLine="900"/>
        <w:rPr>
          <w:rFonts w:ascii="Arial" w:eastAsia="Arial Unicode MS" w:hAnsi="Arial" w:cs="Arial"/>
          <w:color w:val="4F81BD" w:themeColor="accent1"/>
          <w:sz w:val="24"/>
        </w:rPr>
      </w:pPr>
      <w:r w:rsidRPr="00A02016">
        <w:rPr>
          <w:rFonts w:ascii="Arial" w:eastAsia="Arial Unicode MS" w:hAnsi="Arial" w:cs="Arial"/>
          <w:color w:val="4F81BD" w:themeColor="accent1"/>
          <w:sz w:val="24"/>
        </w:rPr>
        <w:t xml:space="preserve">El recurso de revisión fue interpuesto dentro del plazo de quince días hábiles, previsto en el artículo 166 de la Ley de Transparencia y Acceso a la Información Pública del Estado; lo anterior se afirma, </w:t>
      </w:r>
      <w:r w:rsidR="00D21FF3" w:rsidRPr="00A02016">
        <w:rPr>
          <w:rFonts w:ascii="Arial" w:eastAsia="Arial Unicode MS" w:hAnsi="Arial" w:cs="Arial"/>
          <w:color w:val="4F81BD" w:themeColor="accent1"/>
          <w:sz w:val="24"/>
        </w:rPr>
        <w:t xml:space="preserve">ya que </w:t>
      </w:r>
      <w:r w:rsidRPr="00A02016">
        <w:rPr>
          <w:rFonts w:ascii="Arial" w:eastAsia="Arial Unicode MS" w:hAnsi="Arial" w:cs="Arial"/>
          <w:color w:val="4F81BD" w:themeColor="accent1"/>
          <w:sz w:val="24"/>
        </w:rPr>
        <w:t xml:space="preserve">el ente obligado notificó la contestación a la solicitud de información, el </w:t>
      </w:r>
      <w:r w:rsidR="00412DE5" w:rsidRPr="00A02016">
        <w:rPr>
          <w:rFonts w:ascii="Arial" w:eastAsia="Arial Unicode MS" w:hAnsi="Arial" w:cs="Arial"/>
          <w:color w:val="4F81BD" w:themeColor="accent1"/>
          <w:sz w:val="24"/>
        </w:rPr>
        <w:t>veintiocho de noviembre de dos mil dieciocho</w:t>
      </w:r>
      <w:r w:rsidR="00BE6EB8" w:rsidRPr="00A02016">
        <w:rPr>
          <w:rFonts w:ascii="Arial" w:eastAsia="Arial Unicode MS" w:hAnsi="Arial" w:cs="Arial"/>
          <w:color w:val="4F81BD" w:themeColor="accent1"/>
          <w:sz w:val="24"/>
        </w:rPr>
        <w:t xml:space="preserve"> (Foja cinco</w:t>
      </w:r>
      <w:r w:rsidR="00D21FF3" w:rsidRPr="00A02016">
        <w:rPr>
          <w:rFonts w:ascii="Arial" w:eastAsia="Arial Unicode MS" w:hAnsi="Arial" w:cs="Arial"/>
          <w:color w:val="4F81BD" w:themeColor="accent1"/>
          <w:sz w:val="24"/>
        </w:rPr>
        <w:t>)</w:t>
      </w:r>
      <w:r w:rsidRPr="00A02016">
        <w:rPr>
          <w:rFonts w:ascii="Arial" w:eastAsia="Arial Unicode MS" w:hAnsi="Arial" w:cs="Arial"/>
          <w:color w:val="4F81BD" w:themeColor="accent1"/>
          <w:sz w:val="24"/>
        </w:rPr>
        <w:t xml:space="preserve">, </w:t>
      </w:r>
      <w:r w:rsidR="00D21FF3" w:rsidRPr="00A02016">
        <w:rPr>
          <w:rFonts w:ascii="Arial" w:eastAsia="Arial Unicode MS" w:hAnsi="Arial" w:cs="Arial"/>
          <w:color w:val="4F81BD" w:themeColor="accent1"/>
          <w:sz w:val="24"/>
        </w:rPr>
        <w:t xml:space="preserve">por lo que el plazo para que el recurrente interpusiera el presente medio de defensa, </w:t>
      </w:r>
      <w:r w:rsidRPr="00A02016">
        <w:rPr>
          <w:rFonts w:ascii="Arial" w:eastAsia="Arial Unicode MS" w:hAnsi="Arial" w:cs="Arial"/>
          <w:color w:val="4F81BD" w:themeColor="accent1"/>
          <w:sz w:val="24"/>
        </w:rPr>
        <w:t xml:space="preserve">fenecía el </w:t>
      </w:r>
      <w:r w:rsidR="00BE6EB8" w:rsidRPr="00A02016">
        <w:rPr>
          <w:rFonts w:ascii="Arial" w:eastAsia="Arial Unicode MS" w:hAnsi="Arial" w:cs="Arial"/>
          <w:color w:val="4F81BD" w:themeColor="accent1"/>
          <w:sz w:val="24"/>
        </w:rPr>
        <w:t>ocho</w:t>
      </w:r>
      <w:r w:rsidR="00EE226A" w:rsidRPr="00A02016">
        <w:rPr>
          <w:rFonts w:ascii="Arial" w:eastAsia="Arial Unicode MS" w:hAnsi="Arial" w:cs="Arial"/>
          <w:color w:val="4F81BD" w:themeColor="accent1"/>
          <w:sz w:val="24"/>
        </w:rPr>
        <w:t xml:space="preserve"> de enero de </w:t>
      </w:r>
      <w:r w:rsidR="00BE6EB8" w:rsidRPr="00A02016">
        <w:rPr>
          <w:rFonts w:ascii="Arial" w:eastAsia="Arial Unicode MS" w:hAnsi="Arial" w:cs="Arial"/>
          <w:color w:val="4F81BD" w:themeColor="accent1"/>
          <w:sz w:val="24"/>
        </w:rPr>
        <w:t>dos mil dieciocho</w:t>
      </w:r>
      <w:r w:rsidR="00D21FF3" w:rsidRPr="00A02016">
        <w:rPr>
          <w:rFonts w:ascii="Arial" w:eastAsia="Arial Unicode MS" w:hAnsi="Arial" w:cs="Arial"/>
          <w:color w:val="4F81BD" w:themeColor="accent1"/>
          <w:sz w:val="24"/>
        </w:rPr>
        <w:t xml:space="preserve">; dicho plazo comprendió los </w:t>
      </w:r>
      <w:r w:rsidR="00BE6EB8" w:rsidRPr="00A02016">
        <w:rPr>
          <w:rFonts w:ascii="Arial" w:eastAsia="Arial Unicode MS" w:hAnsi="Arial" w:cs="Arial"/>
          <w:color w:val="4F81BD" w:themeColor="accent1"/>
          <w:sz w:val="24"/>
        </w:rPr>
        <w:t xml:space="preserve">días veintinueve y treinta de noviembre de dos mil diecisiete; primero, cuatro, cinco, seis, siete, ocho, once, doce, trece, catorce y quince de diciembre de la citada anualidad, así como el cuatro, cinco y ocho de enero de dos mil dieciocho; </w:t>
      </w:r>
      <w:r w:rsidR="00D21FF3" w:rsidRPr="00A02016">
        <w:rPr>
          <w:rFonts w:ascii="Arial" w:eastAsia="Arial Unicode MS" w:hAnsi="Arial" w:cs="Arial"/>
          <w:color w:val="4F81BD" w:themeColor="accent1"/>
          <w:sz w:val="24"/>
        </w:rPr>
        <w:t xml:space="preserve">ello de conformidad con el calendario de labores de esta Comisión; </w:t>
      </w:r>
      <w:r w:rsidRPr="00A02016">
        <w:rPr>
          <w:rFonts w:ascii="Arial" w:eastAsia="Arial Unicode MS" w:hAnsi="Arial" w:cs="Arial"/>
          <w:color w:val="4F81BD" w:themeColor="accent1"/>
          <w:sz w:val="24"/>
        </w:rPr>
        <w:t xml:space="preserve">por lo que al interponer el presente medio de impugnación el </w:t>
      </w:r>
      <w:r w:rsidR="00BE6EB8" w:rsidRPr="00A02016">
        <w:rPr>
          <w:rFonts w:ascii="Arial" w:eastAsia="Arial Unicode MS" w:hAnsi="Arial" w:cs="Arial"/>
          <w:color w:val="4F81BD" w:themeColor="accent1"/>
          <w:sz w:val="24"/>
        </w:rPr>
        <w:t>cinco de</w:t>
      </w:r>
      <w:r w:rsidR="00EE226A" w:rsidRPr="00A02016">
        <w:rPr>
          <w:rFonts w:ascii="Arial" w:eastAsia="Arial Unicode MS" w:hAnsi="Arial" w:cs="Arial"/>
          <w:color w:val="4F81BD" w:themeColor="accent1"/>
          <w:sz w:val="24"/>
        </w:rPr>
        <w:t xml:space="preserve"> enero </w:t>
      </w:r>
      <w:r w:rsidRPr="00A02016">
        <w:rPr>
          <w:rFonts w:ascii="Arial" w:eastAsia="Arial Unicode MS" w:hAnsi="Arial" w:cs="Arial"/>
          <w:color w:val="4F81BD" w:themeColor="accent1"/>
          <w:sz w:val="24"/>
        </w:rPr>
        <w:t>del año en curso, se advierte que se presentó dentro del plazo reconocido por el numeral</w:t>
      </w:r>
      <w:r w:rsidRPr="00A02016">
        <w:rPr>
          <w:rFonts w:ascii="Arial" w:hAnsi="Arial" w:cs="Arial"/>
          <w:color w:val="4F81BD" w:themeColor="accent1"/>
          <w:sz w:val="24"/>
          <w:lang w:val="es-MX"/>
        </w:rPr>
        <w:t xml:space="preserve"> </w:t>
      </w:r>
      <w:r w:rsidR="00EE226A" w:rsidRPr="00A02016">
        <w:rPr>
          <w:rFonts w:ascii="Arial" w:hAnsi="Arial" w:cs="Arial"/>
          <w:color w:val="4F81BD" w:themeColor="accent1"/>
          <w:sz w:val="24"/>
          <w:lang w:val="es-MX"/>
        </w:rPr>
        <w:t>aludido</w:t>
      </w:r>
      <w:r w:rsidRPr="00A02016">
        <w:rPr>
          <w:rFonts w:ascii="Arial" w:hAnsi="Arial" w:cs="Arial"/>
          <w:color w:val="4F81BD" w:themeColor="accent1"/>
          <w:sz w:val="24"/>
          <w:lang w:val="es-MX"/>
        </w:rPr>
        <w:t>, por lo que se concluye que se encuentra dentro de los márgenes temporales previstos en el citado precepto legal.</w:t>
      </w:r>
    </w:p>
    <w:p w:rsidR="0072714A" w:rsidRPr="00A02016" w:rsidRDefault="0072714A" w:rsidP="00B91518">
      <w:pPr>
        <w:pStyle w:val="Textoindependienteprimerasangra"/>
        <w:spacing w:before="240"/>
        <w:ind w:firstLine="900"/>
        <w:rPr>
          <w:rFonts w:ascii="Arial" w:hAnsi="Arial" w:cs="Arial"/>
          <w:color w:val="4F81BD" w:themeColor="accent1"/>
          <w:sz w:val="24"/>
          <w:lang w:val="es-MX"/>
        </w:rPr>
      </w:pPr>
      <w:r w:rsidRPr="00A02016">
        <w:rPr>
          <w:rFonts w:ascii="Arial" w:hAnsi="Arial" w:cs="Arial"/>
          <w:color w:val="4F81BD" w:themeColor="accent1"/>
          <w:sz w:val="24"/>
          <w:lang w:val="es-MX"/>
        </w:rPr>
        <w:t>Asimismo, tras la revisión del escrito de interposición, se concluye que se acreditan de manera satisfactoria los extremos a que alude el artículo 168 de la Ley de Transparencia y Acceso a la Información Pública del Estado de San Luis Potosí.</w:t>
      </w:r>
    </w:p>
    <w:p w:rsidR="00327BCE" w:rsidRPr="00A02016" w:rsidRDefault="00327BCE" w:rsidP="00B91518">
      <w:pPr>
        <w:pStyle w:val="Textoindependienteprimerasangra"/>
        <w:spacing w:before="240"/>
        <w:ind w:firstLine="900"/>
        <w:rPr>
          <w:rFonts w:ascii="Arial" w:hAnsi="Arial" w:cs="Arial"/>
          <w:color w:val="4F81BD" w:themeColor="accent1"/>
          <w:sz w:val="24"/>
          <w:lang w:val="es-MX"/>
        </w:rPr>
      </w:pPr>
      <w:r w:rsidRPr="00A02016">
        <w:rPr>
          <w:rFonts w:ascii="Arial" w:hAnsi="Arial" w:cs="Arial"/>
          <w:b/>
          <w:color w:val="4F81BD" w:themeColor="accent1"/>
          <w:sz w:val="24"/>
          <w:lang w:val="es-MX"/>
        </w:rPr>
        <w:t xml:space="preserve">TERCERO. Sobreseimiento. </w:t>
      </w:r>
      <w:r w:rsidRPr="00A02016">
        <w:rPr>
          <w:rFonts w:ascii="Arial" w:hAnsi="Arial" w:cs="Arial"/>
          <w:color w:val="4F81BD" w:themeColor="accent1"/>
          <w:sz w:val="24"/>
          <w:lang w:val="es-MX"/>
        </w:rPr>
        <w:t>Esta Comisión estima que en el caso concreto se actualiza la hipótesis prevista por la fracción VI del artículo 179 de la Ley de Transparencia y Acceso a la Información Pública del Estado, por lo que al ser admitido el presente medio de impugnación procede, a su vez, de conformidad con los dispuesto por el artículo 180, fracción IV de la citada ley, el sobreseimiento al actualizarse una causa de improcedencia, misma que consiste en que el particular e</w:t>
      </w:r>
      <w:r w:rsidR="00EC02D9" w:rsidRPr="00A02016">
        <w:rPr>
          <w:rFonts w:ascii="Arial" w:hAnsi="Arial" w:cs="Arial"/>
          <w:color w:val="4F81BD" w:themeColor="accent1"/>
          <w:sz w:val="24"/>
          <w:lang w:val="es-MX"/>
        </w:rPr>
        <w:t xml:space="preserve">n su recurso de revisión realice </w:t>
      </w:r>
      <w:r w:rsidRPr="00A02016">
        <w:rPr>
          <w:rFonts w:ascii="Arial" w:hAnsi="Arial" w:cs="Arial"/>
          <w:color w:val="4F81BD" w:themeColor="accent1"/>
          <w:sz w:val="24"/>
          <w:lang w:val="es-MX"/>
        </w:rPr>
        <w:t>diversas manifestaciones tendientes a controvertir la veracidad y legalidad de la información proporcionada.</w:t>
      </w:r>
    </w:p>
    <w:p w:rsidR="00327BCE" w:rsidRPr="00A02016" w:rsidRDefault="00327BCE" w:rsidP="00B91518">
      <w:pPr>
        <w:pStyle w:val="Textoindependienteprimerasangra"/>
        <w:spacing w:before="240"/>
        <w:ind w:firstLine="900"/>
        <w:rPr>
          <w:rFonts w:ascii="Arial" w:hAnsi="Arial" w:cs="Arial"/>
          <w:color w:val="4F81BD" w:themeColor="accent1"/>
          <w:sz w:val="24"/>
          <w:lang w:val="es-MX"/>
        </w:rPr>
      </w:pPr>
      <w:r w:rsidRPr="00A02016">
        <w:rPr>
          <w:rFonts w:ascii="Arial" w:hAnsi="Arial" w:cs="Arial"/>
          <w:color w:val="4F81BD" w:themeColor="accent1"/>
          <w:sz w:val="24"/>
          <w:lang w:val="es-MX"/>
        </w:rPr>
        <w:t xml:space="preserve">El particular en su escrito de inconformidad estructuró sus manifestaciones en atención a los diversos documentos </w:t>
      </w:r>
      <w:r w:rsidR="00B91518" w:rsidRPr="00A02016">
        <w:rPr>
          <w:rFonts w:ascii="Arial" w:hAnsi="Arial" w:cs="Arial"/>
          <w:color w:val="4F81BD" w:themeColor="accent1"/>
          <w:sz w:val="24"/>
          <w:lang w:val="es-MX"/>
        </w:rPr>
        <w:t xml:space="preserve">que fueron </w:t>
      </w:r>
      <w:r w:rsidRPr="00A02016">
        <w:rPr>
          <w:rFonts w:ascii="Arial" w:hAnsi="Arial" w:cs="Arial"/>
          <w:color w:val="4F81BD" w:themeColor="accent1"/>
          <w:sz w:val="24"/>
          <w:lang w:val="es-MX"/>
        </w:rPr>
        <w:t>puestos a su disposición por parte del Director de la Benemérita y Centenaria Escuela Normal del Estado.</w:t>
      </w:r>
    </w:p>
    <w:p w:rsidR="005F784A" w:rsidRPr="00A02016" w:rsidRDefault="005F784A" w:rsidP="00B91518">
      <w:pPr>
        <w:pStyle w:val="Textoindependienteprimerasangra"/>
        <w:spacing w:before="240"/>
        <w:ind w:firstLine="900"/>
        <w:rPr>
          <w:rFonts w:ascii="Arial" w:hAnsi="Arial" w:cs="Arial"/>
          <w:color w:val="4F81BD" w:themeColor="accent1"/>
          <w:sz w:val="24"/>
          <w:lang w:val="es-MX"/>
        </w:rPr>
      </w:pPr>
      <w:r w:rsidRPr="00A02016">
        <w:rPr>
          <w:rFonts w:ascii="Arial" w:hAnsi="Arial" w:cs="Arial"/>
          <w:color w:val="4F81BD" w:themeColor="accent1"/>
          <w:sz w:val="24"/>
          <w:lang w:val="es-MX"/>
        </w:rPr>
        <w:t>Del análisis de todos y cada uno de los puntos que formuló se advierte que por una parte ataca la legalidad de la informaci</w:t>
      </w:r>
      <w:r w:rsidR="00EC02D9" w:rsidRPr="00A02016">
        <w:rPr>
          <w:rFonts w:ascii="Arial" w:hAnsi="Arial" w:cs="Arial"/>
          <w:color w:val="4F81BD" w:themeColor="accent1"/>
          <w:sz w:val="24"/>
          <w:lang w:val="es-MX"/>
        </w:rPr>
        <w:t>ón</w:t>
      </w:r>
      <w:r w:rsidR="00B91518" w:rsidRPr="00A02016">
        <w:rPr>
          <w:rFonts w:ascii="Arial" w:hAnsi="Arial" w:cs="Arial"/>
          <w:color w:val="4F81BD" w:themeColor="accent1"/>
          <w:sz w:val="24"/>
          <w:lang w:val="es-MX"/>
        </w:rPr>
        <w:t>, por lo que también aduce</w:t>
      </w:r>
      <w:r w:rsidR="00EC02D9" w:rsidRPr="00A02016">
        <w:rPr>
          <w:rFonts w:ascii="Arial" w:hAnsi="Arial" w:cs="Arial"/>
          <w:color w:val="4F81BD" w:themeColor="accent1"/>
          <w:sz w:val="24"/>
          <w:lang w:val="es-MX"/>
        </w:rPr>
        <w:t xml:space="preserve"> la ilegalidad del p</w:t>
      </w:r>
      <w:r w:rsidRPr="00A02016">
        <w:rPr>
          <w:rFonts w:ascii="Arial" w:hAnsi="Arial" w:cs="Arial"/>
          <w:color w:val="4F81BD" w:themeColor="accent1"/>
          <w:sz w:val="24"/>
          <w:lang w:val="es-MX"/>
        </w:rPr>
        <w:t xml:space="preserve">rocedimiento </w:t>
      </w:r>
      <w:r w:rsidR="00EC02D9" w:rsidRPr="00A02016">
        <w:rPr>
          <w:rFonts w:ascii="Arial" w:hAnsi="Arial" w:cs="Arial"/>
          <w:color w:val="4F81BD" w:themeColor="accent1"/>
          <w:sz w:val="24"/>
          <w:lang w:val="es-MX"/>
        </w:rPr>
        <w:t>por el que éstos fueron generados</w:t>
      </w:r>
      <w:r w:rsidRPr="00A02016">
        <w:rPr>
          <w:rFonts w:ascii="Arial" w:hAnsi="Arial" w:cs="Arial"/>
          <w:color w:val="4F81BD" w:themeColor="accent1"/>
          <w:sz w:val="24"/>
          <w:lang w:val="es-MX"/>
        </w:rPr>
        <w:t xml:space="preserve">, lo que se traduce en una impugnación directa de los </w:t>
      </w:r>
      <w:r w:rsidR="00B91518" w:rsidRPr="00A02016">
        <w:rPr>
          <w:rFonts w:ascii="Arial" w:hAnsi="Arial" w:cs="Arial"/>
          <w:color w:val="4F81BD" w:themeColor="accent1"/>
          <w:sz w:val="24"/>
          <w:lang w:val="es-MX"/>
        </w:rPr>
        <w:t>elementos que revisten el acto, por lo que debe precisarse</w:t>
      </w:r>
      <w:r w:rsidRPr="00A02016">
        <w:rPr>
          <w:rFonts w:ascii="Arial" w:hAnsi="Arial" w:cs="Arial"/>
          <w:color w:val="4F81BD" w:themeColor="accent1"/>
          <w:sz w:val="24"/>
          <w:lang w:val="es-MX"/>
        </w:rPr>
        <w:t xml:space="preserve"> </w:t>
      </w:r>
      <w:r w:rsidR="00B91518" w:rsidRPr="00A02016">
        <w:rPr>
          <w:rFonts w:ascii="Arial" w:hAnsi="Arial" w:cs="Arial"/>
          <w:color w:val="4F81BD" w:themeColor="accent1"/>
          <w:sz w:val="24"/>
          <w:lang w:val="es-MX"/>
        </w:rPr>
        <w:t xml:space="preserve">que </w:t>
      </w:r>
      <w:r w:rsidRPr="00A02016">
        <w:rPr>
          <w:rFonts w:ascii="Arial" w:hAnsi="Arial" w:cs="Arial"/>
          <w:color w:val="4F81BD" w:themeColor="accent1"/>
          <w:sz w:val="24"/>
          <w:lang w:val="es-MX"/>
        </w:rPr>
        <w:t xml:space="preserve">esta Comisión no es un órgano facultado para revisar </w:t>
      </w:r>
      <w:r w:rsidR="00B91518" w:rsidRPr="00A02016">
        <w:rPr>
          <w:rFonts w:ascii="Arial" w:hAnsi="Arial" w:cs="Arial"/>
          <w:color w:val="4F81BD" w:themeColor="accent1"/>
          <w:sz w:val="24"/>
          <w:lang w:val="es-MX"/>
        </w:rPr>
        <w:t xml:space="preserve">la </w:t>
      </w:r>
      <w:r w:rsidRPr="00A02016">
        <w:rPr>
          <w:rFonts w:ascii="Arial" w:hAnsi="Arial" w:cs="Arial"/>
          <w:color w:val="4F81BD" w:themeColor="accent1"/>
          <w:sz w:val="24"/>
          <w:lang w:val="es-MX"/>
        </w:rPr>
        <w:t xml:space="preserve">legalidad de </w:t>
      </w:r>
      <w:r w:rsidR="00B91518" w:rsidRPr="00A02016">
        <w:rPr>
          <w:rFonts w:ascii="Arial" w:hAnsi="Arial" w:cs="Arial"/>
          <w:color w:val="4F81BD" w:themeColor="accent1"/>
          <w:sz w:val="24"/>
          <w:lang w:val="es-MX"/>
        </w:rPr>
        <w:t xml:space="preserve">los </w:t>
      </w:r>
      <w:r w:rsidRPr="00A02016">
        <w:rPr>
          <w:rFonts w:ascii="Arial" w:hAnsi="Arial" w:cs="Arial"/>
          <w:color w:val="4F81BD" w:themeColor="accent1"/>
          <w:sz w:val="24"/>
          <w:lang w:val="es-MX"/>
        </w:rPr>
        <w:t xml:space="preserve">actos o procedimientos administrativos, </w:t>
      </w:r>
      <w:r w:rsidR="00B91518" w:rsidRPr="00A02016">
        <w:rPr>
          <w:rFonts w:ascii="Arial" w:hAnsi="Arial" w:cs="Arial"/>
          <w:color w:val="4F81BD" w:themeColor="accent1"/>
          <w:sz w:val="24"/>
          <w:lang w:val="es-MX"/>
        </w:rPr>
        <w:t>en virtud de que el sistema jurídico mexicano establece</w:t>
      </w:r>
      <w:r w:rsidRPr="00A02016">
        <w:rPr>
          <w:rFonts w:ascii="Arial" w:hAnsi="Arial" w:cs="Arial"/>
          <w:color w:val="4F81BD" w:themeColor="accent1"/>
          <w:sz w:val="24"/>
          <w:lang w:val="es-MX"/>
        </w:rPr>
        <w:t xml:space="preserve"> diversas leyes que integran </w:t>
      </w:r>
      <w:r w:rsidR="00947B35" w:rsidRPr="00A02016">
        <w:rPr>
          <w:rFonts w:ascii="Arial" w:hAnsi="Arial" w:cs="Arial"/>
          <w:color w:val="4F81BD" w:themeColor="accent1"/>
          <w:sz w:val="24"/>
          <w:lang w:val="es-MX"/>
        </w:rPr>
        <w:t xml:space="preserve">los </w:t>
      </w:r>
      <w:r w:rsidRPr="00A02016">
        <w:rPr>
          <w:rFonts w:ascii="Arial" w:hAnsi="Arial" w:cs="Arial"/>
          <w:color w:val="4F81BD" w:themeColor="accent1"/>
          <w:sz w:val="24"/>
          <w:lang w:val="es-MX"/>
        </w:rPr>
        <w:t xml:space="preserve">medios de control de </w:t>
      </w:r>
      <w:r w:rsidR="00947B35" w:rsidRPr="00A02016">
        <w:rPr>
          <w:rFonts w:ascii="Arial" w:hAnsi="Arial" w:cs="Arial"/>
          <w:color w:val="4F81BD" w:themeColor="accent1"/>
          <w:sz w:val="24"/>
          <w:lang w:val="es-MX"/>
        </w:rPr>
        <w:t>legalidad de la actuación de la</w:t>
      </w:r>
      <w:r w:rsidRPr="00A02016">
        <w:rPr>
          <w:rFonts w:ascii="Arial" w:hAnsi="Arial" w:cs="Arial"/>
          <w:color w:val="4F81BD" w:themeColor="accent1"/>
          <w:sz w:val="24"/>
          <w:lang w:val="es-MX"/>
        </w:rPr>
        <w:t xml:space="preserve"> autoridad.</w:t>
      </w:r>
    </w:p>
    <w:p w:rsidR="00327BCE" w:rsidRPr="00A02016" w:rsidRDefault="00947B35" w:rsidP="00B91518">
      <w:pPr>
        <w:pStyle w:val="Textoindependienteprimerasangra"/>
        <w:spacing w:before="240"/>
        <w:ind w:firstLine="900"/>
        <w:rPr>
          <w:rFonts w:ascii="Arial" w:hAnsi="Arial" w:cs="Arial"/>
          <w:color w:val="4F81BD" w:themeColor="accent1"/>
          <w:sz w:val="24"/>
        </w:rPr>
      </w:pPr>
      <w:r w:rsidRPr="00A02016">
        <w:rPr>
          <w:rFonts w:ascii="Arial" w:hAnsi="Arial" w:cs="Arial"/>
          <w:color w:val="4F81BD" w:themeColor="accent1"/>
          <w:sz w:val="24"/>
          <w:lang w:val="es-MX"/>
        </w:rPr>
        <w:t>Sirve de apoyo a lo anterior</w:t>
      </w:r>
      <w:r w:rsidR="005F784A" w:rsidRPr="00A02016">
        <w:rPr>
          <w:rFonts w:ascii="Arial" w:hAnsi="Arial" w:cs="Arial"/>
          <w:color w:val="4F81BD" w:themeColor="accent1"/>
          <w:sz w:val="24"/>
          <w:lang w:val="es-MX"/>
        </w:rPr>
        <w:t xml:space="preserve"> </w:t>
      </w:r>
      <w:r w:rsidRPr="00A02016">
        <w:rPr>
          <w:rFonts w:ascii="Arial" w:hAnsi="Arial" w:cs="Arial"/>
          <w:color w:val="4F81BD" w:themeColor="accent1"/>
          <w:sz w:val="24"/>
          <w:lang w:val="es-MX"/>
        </w:rPr>
        <w:t>-</w:t>
      </w:r>
      <w:r w:rsidR="005F784A" w:rsidRPr="00A02016">
        <w:rPr>
          <w:rFonts w:ascii="Arial" w:hAnsi="Arial" w:cs="Arial"/>
          <w:color w:val="4F81BD" w:themeColor="accent1"/>
          <w:sz w:val="24"/>
          <w:lang w:val="es-MX"/>
        </w:rPr>
        <w:t>por las razones que le informan</w:t>
      </w:r>
      <w:r w:rsidRPr="00A02016">
        <w:rPr>
          <w:rFonts w:ascii="Arial" w:hAnsi="Arial" w:cs="Arial"/>
          <w:color w:val="4F81BD" w:themeColor="accent1"/>
          <w:sz w:val="24"/>
          <w:lang w:val="es-MX"/>
        </w:rPr>
        <w:t>-</w:t>
      </w:r>
      <w:r w:rsidR="00B91518" w:rsidRPr="00A02016">
        <w:rPr>
          <w:rFonts w:ascii="Arial" w:hAnsi="Arial" w:cs="Arial"/>
          <w:color w:val="4F81BD" w:themeColor="accent1"/>
          <w:sz w:val="24"/>
          <w:lang w:val="es-MX"/>
        </w:rPr>
        <w:t>,</w:t>
      </w:r>
      <w:r w:rsidR="005F784A" w:rsidRPr="00A02016">
        <w:rPr>
          <w:rFonts w:ascii="Arial" w:hAnsi="Arial" w:cs="Arial"/>
          <w:color w:val="4F81BD" w:themeColor="accent1"/>
          <w:sz w:val="24"/>
          <w:lang w:val="es-MX"/>
        </w:rPr>
        <w:t xml:space="preserve"> </w:t>
      </w:r>
      <w:r w:rsidR="00327BCE" w:rsidRPr="00A02016">
        <w:rPr>
          <w:rFonts w:ascii="Arial" w:hAnsi="Arial" w:cs="Arial"/>
          <w:color w:val="4F81BD" w:themeColor="accent1"/>
          <w:sz w:val="24"/>
          <w:lang w:val="es-MX"/>
        </w:rPr>
        <w:t xml:space="preserve">la tesis aislada </w:t>
      </w:r>
      <w:r w:rsidR="00327BCE" w:rsidRPr="00A02016">
        <w:rPr>
          <w:rFonts w:ascii="Arial" w:hAnsi="Arial" w:cs="Arial"/>
          <w:color w:val="4F81BD" w:themeColor="accent1"/>
          <w:sz w:val="24"/>
        </w:rPr>
        <w:t>IV.2o.A.51 K (10a.), emitida por el Segundo Tribunal Colegiado en materia Administrativa del Cuarto Circuito, la cual establece:</w:t>
      </w:r>
    </w:p>
    <w:p w:rsidR="00327BCE" w:rsidRPr="00A02016" w:rsidRDefault="00327BCE" w:rsidP="00947B35">
      <w:pPr>
        <w:spacing w:line="240" w:lineRule="auto"/>
        <w:ind w:left="851" w:firstLine="709"/>
        <w:rPr>
          <w:rFonts w:ascii="Arial" w:hAnsi="Arial" w:cs="Arial"/>
          <w:i/>
          <w:color w:val="4F81BD" w:themeColor="accent1"/>
          <w:sz w:val="20"/>
          <w:szCs w:val="20"/>
          <w:lang w:val="es-MX" w:eastAsia="es-MX"/>
        </w:rPr>
      </w:pPr>
      <w:r w:rsidRPr="00A02016">
        <w:rPr>
          <w:rFonts w:ascii="Arial" w:hAnsi="Arial" w:cs="Arial"/>
          <w:b/>
          <w:bCs/>
          <w:i/>
          <w:color w:val="4F81BD" w:themeColor="accent1"/>
          <w:sz w:val="20"/>
          <w:szCs w:val="20"/>
          <w:lang w:val="es-MX" w:eastAsia="es-MX"/>
        </w:rPr>
        <w:t>PRINCIPIO DE LEGALIDAD. CARACTERÍSTICAS DE SU DOBLE FUNCIONALIDAD TRATÁNDOSE DEL ACTO ADMINISTRATIVO Y SU RELACIÓN CON EL DIVERSO DE INTERDICCIÓN DE LA ARBITRARIEDAD Y EL CONTROL JURISDICCIONAL.</w:t>
      </w:r>
      <w:r w:rsidR="005F784A" w:rsidRPr="00A02016">
        <w:rPr>
          <w:rFonts w:ascii="Arial" w:hAnsi="Arial" w:cs="Arial"/>
          <w:b/>
          <w:bCs/>
          <w:i/>
          <w:color w:val="4F81BD" w:themeColor="accent1"/>
          <w:sz w:val="20"/>
          <w:szCs w:val="20"/>
          <w:lang w:val="es-MX" w:eastAsia="es-MX"/>
        </w:rPr>
        <w:t xml:space="preserve"> </w:t>
      </w:r>
      <w:r w:rsidRPr="00A02016">
        <w:rPr>
          <w:rFonts w:ascii="Arial" w:hAnsi="Arial" w:cs="Arial"/>
          <w:i/>
          <w:color w:val="4F81BD" w:themeColor="accent1"/>
          <w:sz w:val="20"/>
          <w:szCs w:val="20"/>
          <w:lang w:val="es-MX" w:eastAsia="es-MX"/>
        </w:rPr>
        <w:t>Del artículo </w:t>
      </w:r>
      <w:hyperlink r:id="rId8" w:history="1">
        <w:r w:rsidRPr="00A02016">
          <w:rPr>
            <w:rFonts w:ascii="Arial" w:hAnsi="Arial" w:cs="Arial"/>
            <w:i/>
            <w:color w:val="4F81BD" w:themeColor="accent1"/>
            <w:sz w:val="20"/>
            <w:szCs w:val="20"/>
            <w:lang w:val="es-MX" w:eastAsia="es-MX"/>
          </w:rPr>
          <w:t>16, primer párrafo, de la Constitución Política de los Estados Unidos Mexicanos</w:t>
        </w:r>
      </w:hyperlink>
      <w:r w:rsidRPr="00A02016">
        <w:rPr>
          <w:rFonts w:ascii="Arial" w:hAnsi="Arial" w:cs="Arial"/>
          <w:i/>
          <w:color w:val="4F81BD" w:themeColor="accent1"/>
          <w:sz w:val="20"/>
          <w:szCs w:val="20"/>
          <w:lang w:val="es-MX" w:eastAsia="es-MX"/>
        </w:rPr>
        <w:t>, se advierten los requisitos de mandamiento escrito, autoridad competente y fundamentación y motivación, como garantías instrumentales que, a su vez, revelan la adopción en el régimen jurídico nacional del principio de legalidad, como una garantía del derecho humano a la seguridad jurídica, acorde al cual las autoridades sólo pueden hacer aquello para lo que expresamente les facultan las leyes, en el entendido de que éstas, a su vez, constituyen la manifestación de la voluntad general. Bajo esa premisa, el principio mencionado tiene una doble funcionalidad, particularmente tratándose del acto administrativo, pues, por un lado, impone un régimen de facultades expresas en el que todo acto de autoridad que no represente el ejercicio de una facultad expresamente conferida en la ley a quien lo emite, se considerará arbitrario y, por ello, contrario al derecho a la seguridad jurídica, lo que legitima a las personas para cuestionar la validez de un acto desajustado a las leyes, pero, por otro, bajo la adopción del mismo principio como base de todo el ordenamiento, se genera la presunción de que toda actuación de la autoridad deriva del ejercicio de una facultad que la ley le confiere, en tanto no se demuestre lo contrario, presunción de legalidad ampliamente reconocida tanto en la doctrina como en la legislación nacional. Así, el principio de legalidad, apreciado en su mayor amplitud, da cabida al diverso de interdicción de la arbitrariedad, pero también conlleva que éste opere a través de un control jurisdiccional, lo que da como resultado que no basta que el gobernado considere que determinado acto carece de fundamentación y motivación para que lo estime no obligatorio ni vinculante o lo señale como fuente de un derecho incontrovertible a una sentencia que lo anule, sino que, en todo caso, está a su cargo recurrir a los órganos de control a hacer valer la asumida ausencia o insuficiencia de fundamento legal y motivación dentro de dicho procedimiento y, a su vez, corresponderá a la autoridad demostrar que el acto cuestionado encuentra sustento en una facultad prevista por la norma, so pena de que sea declarado contrario al derecho a la seguridad jurídica, lo que revela que los procedimientos de control jurisdiccional, constituyen la última garantía de verificación del respeto al derecho a la seguridad jurídica, cuyas reglas deben ser conducentes y congruentes con ese propósito.</w:t>
      </w:r>
    </w:p>
    <w:p w:rsidR="00327BCE" w:rsidRPr="00A02016" w:rsidRDefault="00327BCE" w:rsidP="00327BCE">
      <w:pPr>
        <w:spacing w:before="240"/>
        <w:rPr>
          <w:rFonts w:ascii="Arial" w:hAnsi="Arial" w:cs="Arial"/>
          <w:color w:val="4F81BD" w:themeColor="accent1"/>
          <w:sz w:val="24"/>
        </w:rPr>
      </w:pPr>
      <w:r w:rsidRPr="00A02016">
        <w:rPr>
          <w:color w:val="4F81BD" w:themeColor="accent1"/>
        </w:rPr>
        <w:tab/>
      </w:r>
      <w:r w:rsidRPr="00A02016">
        <w:rPr>
          <w:rFonts w:ascii="Arial" w:hAnsi="Arial" w:cs="Arial"/>
          <w:color w:val="4F81BD" w:themeColor="accent1"/>
          <w:sz w:val="24"/>
        </w:rPr>
        <w:t xml:space="preserve">Atento al contenido de la tesis </w:t>
      </w:r>
      <w:r w:rsidR="00947B35" w:rsidRPr="00A02016">
        <w:rPr>
          <w:rFonts w:ascii="Arial" w:hAnsi="Arial" w:cs="Arial"/>
          <w:color w:val="4F81BD" w:themeColor="accent1"/>
          <w:sz w:val="24"/>
        </w:rPr>
        <w:t>en cita</w:t>
      </w:r>
      <w:r w:rsidRPr="00A02016">
        <w:rPr>
          <w:rFonts w:ascii="Arial" w:hAnsi="Arial" w:cs="Arial"/>
          <w:color w:val="4F81BD" w:themeColor="accent1"/>
          <w:sz w:val="24"/>
        </w:rPr>
        <w:t xml:space="preserve">, se </w:t>
      </w:r>
      <w:r w:rsidR="00947B35" w:rsidRPr="00A02016">
        <w:rPr>
          <w:rFonts w:ascii="Arial" w:hAnsi="Arial" w:cs="Arial"/>
          <w:color w:val="4F81BD" w:themeColor="accent1"/>
          <w:sz w:val="24"/>
        </w:rPr>
        <w:t xml:space="preserve">arriba a la convicción de que </w:t>
      </w:r>
      <w:r w:rsidRPr="00A02016">
        <w:rPr>
          <w:rFonts w:ascii="Arial" w:hAnsi="Arial" w:cs="Arial"/>
          <w:color w:val="4F81BD" w:themeColor="accent1"/>
          <w:sz w:val="24"/>
        </w:rPr>
        <w:t xml:space="preserve">las autoridades sólo pueden actuar bajo el marco de sus atribuciones, </w:t>
      </w:r>
      <w:r w:rsidR="00947B35" w:rsidRPr="00A02016">
        <w:rPr>
          <w:rFonts w:ascii="Arial" w:hAnsi="Arial" w:cs="Arial"/>
          <w:color w:val="4F81BD" w:themeColor="accent1"/>
          <w:sz w:val="24"/>
        </w:rPr>
        <w:t xml:space="preserve">por lo que ésta </w:t>
      </w:r>
      <w:r w:rsidRPr="00A02016">
        <w:rPr>
          <w:rFonts w:ascii="Arial" w:hAnsi="Arial" w:cs="Arial"/>
          <w:color w:val="4F81BD" w:themeColor="accent1"/>
          <w:sz w:val="24"/>
        </w:rPr>
        <w:t>Comisión</w:t>
      </w:r>
      <w:r w:rsidR="00947B35" w:rsidRPr="00A02016">
        <w:rPr>
          <w:rFonts w:ascii="Arial" w:hAnsi="Arial" w:cs="Arial"/>
          <w:color w:val="4F81BD" w:themeColor="accent1"/>
          <w:sz w:val="24"/>
        </w:rPr>
        <w:t xml:space="preserve"> dada su naturaleza, únicamente le compete</w:t>
      </w:r>
      <w:r w:rsidRPr="00A02016">
        <w:rPr>
          <w:rFonts w:ascii="Arial" w:hAnsi="Arial" w:cs="Arial"/>
          <w:color w:val="4F81BD" w:themeColor="accent1"/>
          <w:sz w:val="24"/>
        </w:rPr>
        <w:t xml:space="preserve"> conocer y resolver </w:t>
      </w:r>
      <w:r w:rsidR="00947B35" w:rsidRPr="00A02016">
        <w:rPr>
          <w:rFonts w:ascii="Arial" w:hAnsi="Arial" w:cs="Arial"/>
          <w:color w:val="4F81BD" w:themeColor="accent1"/>
          <w:sz w:val="24"/>
        </w:rPr>
        <w:t>lo relativo a las inconformidades que refieren las hipótesis contenidas del numeral</w:t>
      </w:r>
      <w:r w:rsidRPr="00A02016">
        <w:rPr>
          <w:rFonts w:ascii="Arial" w:hAnsi="Arial" w:cs="Arial"/>
          <w:color w:val="4F81BD" w:themeColor="accent1"/>
          <w:sz w:val="24"/>
        </w:rPr>
        <w:t xml:space="preserve"> 167 de la Ley de Transparencia y Acceso a la Información Pública del Estado, así como de las violaciones que </w:t>
      </w:r>
      <w:r w:rsidR="00947B35" w:rsidRPr="00A02016">
        <w:rPr>
          <w:rFonts w:ascii="Arial" w:hAnsi="Arial" w:cs="Arial"/>
          <w:color w:val="4F81BD" w:themeColor="accent1"/>
          <w:sz w:val="24"/>
        </w:rPr>
        <w:t>este Órgano Garante con base en el arábigo</w:t>
      </w:r>
      <w:r w:rsidRPr="00A02016">
        <w:rPr>
          <w:rFonts w:ascii="Arial" w:hAnsi="Arial" w:cs="Arial"/>
          <w:color w:val="4F81BD" w:themeColor="accent1"/>
          <w:sz w:val="24"/>
        </w:rPr>
        <w:t xml:space="preserve"> 14 de la Ley </w:t>
      </w:r>
      <w:r w:rsidR="00947B35" w:rsidRPr="00A02016">
        <w:rPr>
          <w:rFonts w:ascii="Arial" w:hAnsi="Arial" w:cs="Arial"/>
          <w:color w:val="4F81BD" w:themeColor="accent1"/>
          <w:sz w:val="24"/>
        </w:rPr>
        <w:t xml:space="preserve">en cita, </w:t>
      </w:r>
      <w:r w:rsidR="00DC3738" w:rsidRPr="00A02016">
        <w:rPr>
          <w:rFonts w:ascii="Arial" w:hAnsi="Arial" w:cs="Arial"/>
          <w:color w:val="4F81BD" w:themeColor="accent1"/>
          <w:sz w:val="24"/>
        </w:rPr>
        <w:t xml:space="preserve">por lo que respecta </w:t>
      </w:r>
      <w:r w:rsidRPr="00A02016">
        <w:rPr>
          <w:rFonts w:ascii="Arial" w:hAnsi="Arial" w:cs="Arial"/>
          <w:color w:val="4F81BD" w:themeColor="accent1"/>
          <w:sz w:val="24"/>
        </w:rPr>
        <w:t>la suplencia a favor del gobernado</w:t>
      </w:r>
      <w:r w:rsidR="00DC3738" w:rsidRPr="00A02016">
        <w:rPr>
          <w:rFonts w:ascii="Arial" w:hAnsi="Arial" w:cs="Arial"/>
          <w:color w:val="4F81BD" w:themeColor="accent1"/>
          <w:sz w:val="24"/>
        </w:rPr>
        <w:t>, en los casos que particulares que por su naturaleza así lo requiera</w:t>
      </w:r>
      <w:r w:rsidRPr="00A02016">
        <w:rPr>
          <w:rFonts w:ascii="Arial" w:hAnsi="Arial" w:cs="Arial"/>
          <w:color w:val="4F81BD" w:themeColor="accent1"/>
          <w:sz w:val="24"/>
        </w:rPr>
        <w:t>.</w:t>
      </w:r>
    </w:p>
    <w:p w:rsidR="00327BCE" w:rsidRPr="00A02016" w:rsidRDefault="00327BCE" w:rsidP="00327BCE">
      <w:pPr>
        <w:spacing w:before="240"/>
        <w:rPr>
          <w:rFonts w:ascii="Arial" w:hAnsi="Arial" w:cs="Arial"/>
          <w:color w:val="4F81BD" w:themeColor="accent1"/>
          <w:sz w:val="24"/>
        </w:rPr>
      </w:pPr>
      <w:r w:rsidRPr="00A02016">
        <w:rPr>
          <w:rFonts w:ascii="Arial" w:hAnsi="Arial" w:cs="Arial"/>
          <w:color w:val="4F81BD" w:themeColor="accent1"/>
        </w:rPr>
        <w:tab/>
      </w:r>
      <w:r w:rsidR="00DC3738" w:rsidRPr="00A02016">
        <w:rPr>
          <w:rFonts w:ascii="Arial" w:hAnsi="Arial" w:cs="Arial"/>
          <w:color w:val="4F81BD" w:themeColor="accent1"/>
          <w:sz w:val="24"/>
        </w:rPr>
        <w:t xml:space="preserve">Por tanto, </w:t>
      </w:r>
      <w:r w:rsidRPr="00A02016">
        <w:rPr>
          <w:rFonts w:ascii="Arial" w:hAnsi="Arial" w:cs="Arial"/>
          <w:color w:val="4F81BD" w:themeColor="accent1"/>
          <w:sz w:val="24"/>
        </w:rPr>
        <w:t xml:space="preserve">el </w:t>
      </w:r>
      <w:r w:rsidR="00313A31" w:rsidRPr="00A02016">
        <w:rPr>
          <w:rFonts w:ascii="Arial" w:hAnsi="Arial" w:cs="Arial"/>
          <w:color w:val="4F81BD" w:themeColor="accent1"/>
          <w:sz w:val="24"/>
        </w:rPr>
        <w:t>pronunciamiento</w:t>
      </w:r>
      <w:r w:rsidRPr="00A02016">
        <w:rPr>
          <w:rFonts w:ascii="Arial" w:hAnsi="Arial" w:cs="Arial"/>
          <w:color w:val="4F81BD" w:themeColor="accent1"/>
          <w:sz w:val="24"/>
        </w:rPr>
        <w:t xml:space="preserve"> </w:t>
      </w:r>
      <w:r w:rsidR="00313A31" w:rsidRPr="00A02016">
        <w:rPr>
          <w:rFonts w:ascii="Arial" w:hAnsi="Arial" w:cs="Arial"/>
          <w:color w:val="4F81BD" w:themeColor="accent1"/>
          <w:sz w:val="24"/>
        </w:rPr>
        <w:t xml:space="preserve">que emita este Órgano Garante con motivo de las </w:t>
      </w:r>
      <w:r w:rsidR="00DC3738" w:rsidRPr="00A02016">
        <w:rPr>
          <w:rFonts w:ascii="Arial" w:hAnsi="Arial" w:cs="Arial"/>
          <w:color w:val="4F81BD" w:themeColor="accent1"/>
          <w:sz w:val="24"/>
        </w:rPr>
        <w:t>manifestaciones que versan sobre una</w:t>
      </w:r>
      <w:r w:rsidRPr="00A02016">
        <w:rPr>
          <w:rFonts w:ascii="Arial" w:hAnsi="Arial" w:cs="Arial"/>
          <w:color w:val="4F81BD" w:themeColor="accent1"/>
          <w:sz w:val="24"/>
        </w:rPr>
        <w:t xml:space="preserve"> ilegalidad</w:t>
      </w:r>
      <w:r w:rsidR="00313A31" w:rsidRPr="00A02016">
        <w:rPr>
          <w:rFonts w:ascii="Arial" w:hAnsi="Arial" w:cs="Arial"/>
          <w:color w:val="4F81BD" w:themeColor="accent1"/>
          <w:sz w:val="24"/>
        </w:rPr>
        <w:t>,</w:t>
      </w:r>
      <w:r w:rsidRPr="00A02016">
        <w:rPr>
          <w:rFonts w:ascii="Arial" w:hAnsi="Arial" w:cs="Arial"/>
          <w:color w:val="4F81BD" w:themeColor="accent1"/>
          <w:sz w:val="24"/>
        </w:rPr>
        <w:t xml:space="preserve"> </w:t>
      </w:r>
      <w:r w:rsidR="00DC3738" w:rsidRPr="00A02016">
        <w:rPr>
          <w:rFonts w:ascii="Arial" w:hAnsi="Arial" w:cs="Arial"/>
          <w:color w:val="4F81BD" w:themeColor="accent1"/>
          <w:sz w:val="24"/>
        </w:rPr>
        <w:t xml:space="preserve">implica sobrepasar </w:t>
      </w:r>
      <w:r w:rsidRPr="00A02016">
        <w:rPr>
          <w:rFonts w:ascii="Arial" w:hAnsi="Arial" w:cs="Arial"/>
          <w:color w:val="4F81BD" w:themeColor="accent1"/>
          <w:sz w:val="24"/>
        </w:rPr>
        <w:t>las facultades con las que cuenta esta Comisión, pues el estudio de fondo de ellas</w:t>
      </w:r>
      <w:r w:rsidR="00DC3738" w:rsidRPr="00A02016">
        <w:rPr>
          <w:rFonts w:ascii="Arial" w:hAnsi="Arial" w:cs="Arial"/>
          <w:color w:val="4F81BD" w:themeColor="accent1"/>
          <w:sz w:val="24"/>
        </w:rPr>
        <w:t>,</w:t>
      </w:r>
      <w:r w:rsidRPr="00A02016">
        <w:rPr>
          <w:rFonts w:ascii="Arial" w:hAnsi="Arial" w:cs="Arial"/>
          <w:color w:val="4F81BD" w:themeColor="accent1"/>
          <w:sz w:val="24"/>
        </w:rPr>
        <w:t xml:space="preserve"> implicaría un análisis de los elementos de legalidad de la actuación administrativa de la Benemérita y Cente</w:t>
      </w:r>
      <w:r w:rsidR="00DC3738" w:rsidRPr="00A02016">
        <w:rPr>
          <w:rFonts w:ascii="Arial" w:hAnsi="Arial" w:cs="Arial"/>
          <w:color w:val="4F81BD" w:themeColor="accent1"/>
          <w:sz w:val="24"/>
        </w:rPr>
        <w:t>naria Escuela Normal del Estado</w:t>
      </w:r>
      <w:r w:rsidRPr="00A02016">
        <w:rPr>
          <w:rFonts w:ascii="Arial" w:hAnsi="Arial" w:cs="Arial"/>
          <w:color w:val="4F81BD" w:themeColor="accent1"/>
          <w:sz w:val="24"/>
        </w:rPr>
        <w:t xml:space="preserve"> y</w:t>
      </w:r>
      <w:r w:rsidR="00DC3738" w:rsidRPr="00A02016">
        <w:rPr>
          <w:rFonts w:ascii="Arial" w:hAnsi="Arial" w:cs="Arial"/>
          <w:color w:val="4F81BD" w:themeColor="accent1"/>
          <w:sz w:val="24"/>
        </w:rPr>
        <w:t>,</w:t>
      </w:r>
      <w:r w:rsidRPr="00A02016">
        <w:rPr>
          <w:rFonts w:ascii="Arial" w:hAnsi="Arial" w:cs="Arial"/>
          <w:color w:val="4F81BD" w:themeColor="accent1"/>
          <w:sz w:val="24"/>
        </w:rPr>
        <w:t xml:space="preserve"> en nada se encuentra relacionado con la </w:t>
      </w:r>
      <w:r w:rsidR="00DC3738" w:rsidRPr="00A02016">
        <w:rPr>
          <w:rFonts w:ascii="Arial" w:hAnsi="Arial" w:cs="Arial"/>
          <w:color w:val="4F81BD" w:themeColor="accent1"/>
          <w:sz w:val="24"/>
        </w:rPr>
        <w:t>materia que nos ocupa</w:t>
      </w:r>
      <w:r w:rsidRPr="00A02016">
        <w:rPr>
          <w:rFonts w:ascii="Arial" w:hAnsi="Arial" w:cs="Arial"/>
          <w:color w:val="4F81BD" w:themeColor="accent1"/>
          <w:sz w:val="24"/>
        </w:rPr>
        <w:t>, ya que el derecho de acceso a la información funge como un derecho en sí mismo y como un medio o instrumento para el ejercicio de otros derechos, lo que concatenado con el principio de rendición de cuentas reconocido por el artículo 2°, fracción VII de la Ley General de Transparencia y Acceso a la Información Pública,</w:t>
      </w:r>
      <w:r w:rsidR="00DC3738" w:rsidRPr="00A02016">
        <w:rPr>
          <w:rFonts w:ascii="Arial" w:hAnsi="Arial" w:cs="Arial"/>
          <w:color w:val="4F81BD" w:themeColor="accent1"/>
          <w:sz w:val="24"/>
        </w:rPr>
        <w:t xml:space="preserve"> </w:t>
      </w:r>
      <w:r w:rsidRPr="00A02016">
        <w:rPr>
          <w:rFonts w:ascii="Arial" w:hAnsi="Arial" w:cs="Arial"/>
          <w:color w:val="4F81BD" w:themeColor="accent1"/>
          <w:sz w:val="24"/>
        </w:rPr>
        <w:t>implica que los particulares tengan conocimiento de la actuación de la autoridad para que conozcan la conducción que ejercen los servidores públicos que se encuentran adscritos a ésta y puedan utilizar lo entregado de las múltiples formas que las normas permiten.</w:t>
      </w:r>
    </w:p>
    <w:p w:rsidR="00327BCE" w:rsidRPr="00A02016" w:rsidRDefault="00327BCE" w:rsidP="00327BCE">
      <w:pPr>
        <w:spacing w:before="240"/>
        <w:rPr>
          <w:rFonts w:ascii="Arial" w:hAnsi="Arial" w:cs="Arial"/>
          <w:color w:val="4F81BD" w:themeColor="accent1"/>
          <w:sz w:val="24"/>
        </w:rPr>
      </w:pPr>
      <w:r w:rsidRPr="00A02016">
        <w:rPr>
          <w:rFonts w:ascii="Arial" w:hAnsi="Arial" w:cs="Arial"/>
          <w:color w:val="4F81BD" w:themeColor="accent1"/>
        </w:rPr>
        <w:tab/>
      </w:r>
      <w:r w:rsidR="00123FAF" w:rsidRPr="00A02016">
        <w:rPr>
          <w:rFonts w:ascii="Arial" w:hAnsi="Arial" w:cs="Arial"/>
          <w:color w:val="4F81BD" w:themeColor="accent1"/>
          <w:sz w:val="24"/>
        </w:rPr>
        <w:t>Asimismo, r</w:t>
      </w:r>
      <w:r w:rsidR="00313A31" w:rsidRPr="00A02016">
        <w:rPr>
          <w:rFonts w:ascii="Arial" w:hAnsi="Arial" w:cs="Arial"/>
          <w:color w:val="4F81BD" w:themeColor="accent1"/>
          <w:sz w:val="24"/>
        </w:rPr>
        <w:t xml:space="preserve">esulta menester señalar </w:t>
      </w:r>
      <w:r w:rsidRPr="00A02016">
        <w:rPr>
          <w:rFonts w:ascii="Arial" w:hAnsi="Arial" w:cs="Arial"/>
          <w:color w:val="4F81BD" w:themeColor="accent1"/>
          <w:sz w:val="24"/>
        </w:rPr>
        <w:t xml:space="preserve">que las inconformidades que aduce el particular son resultado del derecho de acceso a la información, puesto que éste a través del análisis de las constancias y documentos que le proporcionan está en condiciones de formular oposiciones, sean fundadas o no, al actuar de la autoridad, lo que en </w:t>
      </w:r>
      <w:r w:rsidR="00CB3FC4" w:rsidRPr="00A02016">
        <w:rPr>
          <w:rFonts w:ascii="Arial" w:hAnsi="Arial" w:cs="Arial"/>
          <w:color w:val="4F81BD" w:themeColor="accent1"/>
          <w:sz w:val="24"/>
        </w:rPr>
        <w:t>sí</w:t>
      </w:r>
      <w:r w:rsidRPr="00A02016">
        <w:rPr>
          <w:rFonts w:ascii="Arial" w:hAnsi="Arial" w:cs="Arial"/>
          <w:color w:val="4F81BD" w:themeColor="accent1"/>
          <w:sz w:val="24"/>
        </w:rPr>
        <w:t xml:space="preserve"> mismo representa el uso </w:t>
      </w:r>
      <w:r w:rsidR="00CB3FC4" w:rsidRPr="00A02016">
        <w:rPr>
          <w:rFonts w:ascii="Arial" w:hAnsi="Arial" w:cs="Arial"/>
          <w:color w:val="4F81BD" w:themeColor="accent1"/>
          <w:sz w:val="24"/>
        </w:rPr>
        <w:t>legítimo</w:t>
      </w:r>
      <w:r w:rsidRPr="00A02016">
        <w:rPr>
          <w:rFonts w:ascii="Arial" w:hAnsi="Arial" w:cs="Arial"/>
          <w:color w:val="4F81BD" w:themeColor="accent1"/>
          <w:sz w:val="24"/>
        </w:rPr>
        <w:t xml:space="preserve"> del derecho tutelado por esta Comisión; pese a ello, resulta que el presente medio de impugnación no es el medio </w:t>
      </w:r>
      <w:r w:rsidR="00313A31" w:rsidRPr="00A02016">
        <w:rPr>
          <w:rFonts w:ascii="Arial" w:hAnsi="Arial" w:cs="Arial"/>
          <w:color w:val="4F81BD" w:themeColor="accent1"/>
          <w:sz w:val="24"/>
        </w:rPr>
        <w:t xml:space="preserve">idóneo </w:t>
      </w:r>
      <w:r w:rsidRPr="00A02016">
        <w:rPr>
          <w:rFonts w:ascii="Arial" w:hAnsi="Arial" w:cs="Arial"/>
          <w:color w:val="4F81BD" w:themeColor="accent1"/>
          <w:sz w:val="24"/>
        </w:rPr>
        <w:t>para impugnar la veracidad y legalidad de los documentos puestos a disposición</w:t>
      </w:r>
      <w:r w:rsidR="00313A31" w:rsidRPr="00A02016">
        <w:rPr>
          <w:rFonts w:ascii="Arial" w:hAnsi="Arial" w:cs="Arial"/>
          <w:color w:val="4F81BD" w:themeColor="accent1"/>
          <w:sz w:val="24"/>
        </w:rPr>
        <w:t>, por lo que es conducente</w:t>
      </w:r>
      <w:r w:rsidRPr="00A02016">
        <w:rPr>
          <w:rFonts w:ascii="Arial" w:hAnsi="Arial" w:cs="Arial"/>
          <w:color w:val="4F81BD" w:themeColor="accent1"/>
          <w:sz w:val="24"/>
        </w:rPr>
        <w:t xml:space="preserve"> el sobreseimiento de la </w:t>
      </w:r>
      <w:r w:rsidR="00313A31" w:rsidRPr="00A02016">
        <w:rPr>
          <w:rFonts w:ascii="Arial" w:hAnsi="Arial" w:cs="Arial"/>
          <w:color w:val="4F81BD" w:themeColor="accent1"/>
          <w:sz w:val="24"/>
        </w:rPr>
        <w:t xml:space="preserve">presente </w:t>
      </w:r>
      <w:r w:rsidRPr="00A02016">
        <w:rPr>
          <w:rFonts w:ascii="Arial" w:hAnsi="Arial" w:cs="Arial"/>
          <w:color w:val="4F81BD" w:themeColor="accent1"/>
          <w:sz w:val="24"/>
        </w:rPr>
        <w:t>causa solamente respecto de aquellas manifestaciones que controviertan la legalidad de la actuación de la autoridad respecto a la generación de la documentación.</w:t>
      </w:r>
    </w:p>
    <w:p w:rsidR="001C0785" w:rsidRPr="00A02016" w:rsidRDefault="00327BCE" w:rsidP="001C0785">
      <w:pPr>
        <w:spacing w:before="240"/>
        <w:rPr>
          <w:noProof/>
          <w:color w:val="4F81BD" w:themeColor="accent1"/>
          <w:lang w:val="es-MX" w:eastAsia="es-MX"/>
        </w:rPr>
      </w:pPr>
      <w:r w:rsidRPr="00A02016">
        <w:rPr>
          <w:color w:val="4F81BD" w:themeColor="accent1"/>
          <w:sz w:val="24"/>
        </w:rPr>
        <w:tab/>
      </w:r>
      <w:r w:rsidR="00B74DCE" w:rsidRPr="00A02016">
        <w:rPr>
          <w:rFonts w:ascii="Arial" w:hAnsi="Arial" w:cs="Arial"/>
          <w:color w:val="4F81BD" w:themeColor="accent1"/>
          <w:sz w:val="24"/>
        </w:rPr>
        <w:t>Es por ello que en el c</w:t>
      </w:r>
      <w:r w:rsidRPr="00A02016">
        <w:rPr>
          <w:rFonts w:ascii="Arial" w:hAnsi="Arial" w:cs="Arial"/>
          <w:color w:val="4F81BD" w:themeColor="accent1"/>
          <w:sz w:val="24"/>
        </w:rPr>
        <w:t>aso concreto</w:t>
      </w:r>
      <w:r w:rsidR="001C0785" w:rsidRPr="00A02016">
        <w:rPr>
          <w:rFonts w:ascii="Arial" w:hAnsi="Arial" w:cs="Arial"/>
          <w:color w:val="4F81BD" w:themeColor="accent1"/>
          <w:sz w:val="24"/>
        </w:rPr>
        <w:t xml:space="preserve"> en lo relativo a que el sujeto obligado pone a su disposición </w:t>
      </w:r>
      <w:r w:rsidR="001C0785" w:rsidRPr="00A02016">
        <w:rPr>
          <w:noProof/>
          <w:color w:val="4F81BD" w:themeColor="accent1"/>
          <w:lang w:val="es-MX" w:eastAsia="es-MX"/>
        </w:rPr>
        <w:t>cinco (5) fojas respecto de la información solicitada, pero que las cantidades pagadas a los docentes no son probadas debidamente con sus actuaciones de sinodos; que no se tienen publicadas en las listas de cheques, por lo que los pagos son incompletos y erroneos.</w:t>
      </w:r>
    </w:p>
    <w:p w:rsidR="008C153C" w:rsidRPr="00A02016" w:rsidRDefault="001C0785" w:rsidP="001C0785">
      <w:pPr>
        <w:pStyle w:val="Textoindependienteprimerasangra"/>
        <w:spacing w:before="240"/>
        <w:ind w:firstLine="708"/>
        <w:rPr>
          <w:rFonts w:ascii="Arial" w:hAnsi="Arial" w:cs="Arial"/>
          <w:color w:val="4F81BD" w:themeColor="accent1"/>
          <w:sz w:val="24"/>
        </w:rPr>
      </w:pPr>
      <w:r w:rsidRPr="00A02016">
        <w:rPr>
          <w:noProof/>
          <w:color w:val="4F81BD" w:themeColor="accent1"/>
          <w:lang w:val="es-MX" w:eastAsia="es-MX"/>
        </w:rPr>
        <w:t xml:space="preserve">Que el sujeto obligado no dice de que generación son todos los docentes que presentaron exámenes profesionales en las fechas citadas y menos porque los presentaron en esas fechas y no en julio de 2016, como todos los graduados, por lo que la información resultó incompleta, se advierte </w:t>
      </w:r>
      <w:r w:rsidR="00327BCE" w:rsidRPr="00A02016">
        <w:rPr>
          <w:rFonts w:ascii="Arial" w:hAnsi="Arial" w:cs="Arial"/>
          <w:color w:val="4F81BD" w:themeColor="accent1"/>
          <w:sz w:val="24"/>
        </w:rPr>
        <w:t>efectivamente</w:t>
      </w:r>
      <w:r w:rsidR="00ED2A76" w:rsidRPr="00A02016">
        <w:rPr>
          <w:rFonts w:ascii="Arial" w:hAnsi="Arial" w:cs="Arial"/>
          <w:color w:val="4F81BD" w:themeColor="accent1"/>
          <w:sz w:val="24"/>
        </w:rPr>
        <w:t>, en dichas manifestaciones</w:t>
      </w:r>
      <w:r w:rsidR="00327BCE" w:rsidRPr="00A02016">
        <w:rPr>
          <w:rFonts w:ascii="Arial" w:hAnsi="Arial" w:cs="Arial"/>
          <w:color w:val="4F81BD" w:themeColor="accent1"/>
          <w:sz w:val="24"/>
        </w:rPr>
        <w:t xml:space="preserve"> ataca el documento en cuanto</w:t>
      </w:r>
      <w:r w:rsidRPr="00A02016">
        <w:rPr>
          <w:rFonts w:ascii="Arial" w:hAnsi="Arial" w:cs="Arial"/>
          <w:color w:val="4F81BD" w:themeColor="accent1"/>
          <w:sz w:val="24"/>
        </w:rPr>
        <w:t xml:space="preserve"> a su emisión por lo que se concluye que </w:t>
      </w:r>
      <w:r w:rsidR="00327BCE" w:rsidRPr="00A02016">
        <w:rPr>
          <w:rFonts w:ascii="Arial" w:hAnsi="Arial" w:cs="Arial"/>
          <w:color w:val="4F81BD" w:themeColor="accent1"/>
          <w:sz w:val="24"/>
        </w:rPr>
        <w:t>hace extensiva la generalidad de la ilegalidad a las actuacion</w:t>
      </w:r>
      <w:r w:rsidRPr="00A02016">
        <w:rPr>
          <w:rFonts w:ascii="Arial" w:hAnsi="Arial" w:cs="Arial"/>
          <w:color w:val="4F81BD" w:themeColor="accent1"/>
          <w:sz w:val="24"/>
        </w:rPr>
        <w:t xml:space="preserve">es derivadas de dicho documento, </w:t>
      </w:r>
      <w:r w:rsidR="00327BCE" w:rsidRPr="00A02016">
        <w:rPr>
          <w:rFonts w:ascii="Arial" w:hAnsi="Arial" w:cs="Arial"/>
          <w:color w:val="4F81BD" w:themeColor="accent1"/>
          <w:sz w:val="24"/>
        </w:rPr>
        <w:t>lo que implícitamente supone la alusión a un vicio en el nacimiento de</w:t>
      </w:r>
      <w:r w:rsidR="00A87637" w:rsidRPr="00A02016">
        <w:rPr>
          <w:rFonts w:ascii="Arial" w:hAnsi="Arial" w:cs="Arial"/>
          <w:color w:val="4F81BD" w:themeColor="accent1"/>
          <w:sz w:val="24"/>
        </w:rPr>
        <w:t xml:space="preserve">l </w:t>
      </w:r>
      <w:r w:rsidR="00327BCE" w:rsidRPr="00A02016">
        <w:rPr>
          <w:rFonts w:ascii="Arial" w:hAnsi="Arial" w:cs="Arial"/>
          <w:color w:val="4F81BD" w:themeColor="accent1"/>
          <w:sz w:val="24"/>
        </w:rPr>
        <w:t>procedimiento</w:t>
      </w:r>
      <w:r w:rsidR="00A87637" w:rsidRPr="00A02016">
        <w:rPr>
          <w:rFonts w:ascii="Arial" w:hAnsi="Arial" w:cs="Arial"/>
          <w:color w:val="4F81BD" w:themeColor="accent1"/>
          <w:sz w:val="24"/>
        </w:rPr>
        <w:t xml:space="preserve"> </w:t>
      </w:r>
      <w:r w:rsidR="00327BCE" w:rsidRPr="00A02016">
        <w:rPr>
          <w:rFonts w:ascii="Arial" w:hAnsi="Arial" w:cs="Arial"/>
          <w:color w:val="4F81BD" w:themeColor="accent1"/>
          <w:sz w:val="24"/>
        </w:rPr>
        <w:t xml:space="preserve">del cual deviene la información solicitada, es decir, que controvierte su contenido en razón de la supuesta emisión </w:t>
      </w:r>
      <w:r w:rsidRPr="00A02016">
        <w:rPr>
          <w:rFonts w:ascii="Arial" w:hAnsi="Arial" w:cs="Arial"/>
          <w:color w:val="4F81BD" w:themeColor="accent1"/>
          <w:sz w:val="24"/>
        </w:rPr>
        <w:t>de dichos documentos.</w:t>
      </w:r>
    </w:p>
    <w:p w:rsidR="008C153C" w:rsidRPr="00A02016" w:rsidRDefault="008C153C" w:rsidP="008C153C">
      <w:pPr>
        <w:spacing w:before="240"/>
        <w:ind w:firstLine="708"/>
        <w:rPr>
          <w:rFonts w:ascii="Arial" w:hAnsi="Arial" w:cs="Arial"/>
          <w:color w:val="4F81BD" w:themeColor="accent1"/>
          <w:sz w:val="24"/>
        </w:rPr>
      </w:pPr>
      <w:r w:rsidRPr="00A02016">
        <w:rPr>
          <w:rFonts w:ascii="Arial" w:hAnsi="Arial" w:cs="Arial"/>
          <w:color w:val="4F81BD" w:themeColor="accent1"/>
          <w:sz w:val="24"/>
        </w:rPr>
        <w:t>Dicha inconformidad se advierte que va dirigida a controvertir el documento en cuanto a su forma y fondo, ya que su emisión carece de elementos que lo apeguen a la disposición en la que se funda su generación, es decir, no es eficaz para colmar los requisitos que establecen la disposición administrativa de la cual devienen, lo que implica que tal actuación de la autoridad, se le atribuye una deficiencia que implica analizar el documento a la luz del acto que le dio origen y ello contraviene los principios y bases de la normatividad aplicable a la materia, pues implicaría, como se ha señalado en reiteradas ocasiones, pretender estudiar el documento en razón de las inconformidades de legalidad del particular y quedaría el documento sujeto a un análisis de legalidad que no le corre</w:t>
      </w:r>
      <w:r w:rsidR="00746AA3" w:rsidRPr="00A02016">
        <w:rPr>
          <w:rFonts w:ascii="Arial" w:hAnsi="Arial" w:cs="Arial"/>
          <w:color w:val="4F81BD" w:themeColor="accent1"/>
          <w:sz w:val="24"/>
        </w:rPr>
        <w:t xml:space="preserve">sponde a esta Comisión efectuar en la presente resolución; ello resulta así, con motivo de que este Órgano Garante no se encuentra </w:t>
      </w:r>
      <w:r w:rsidRPr="00A02016">
        <w:rPr>
          <w:rFonts w:ascii="Arial" w:hAnsi="Arial" w:cs="Arial"/>
          <w:color w:val="4F81BD" w:themeColor="accent1"/>
          <w:sz w:val="24"/>
        </w:rPr>
        <w:t xml:space="preserve">dotado de jurisdicción para determinar la ilegalidad administrativa de la autoridad. </w:t>
      </w:r>
      <w:r w:rsidR="00746AA3" w:rsidRPr="00A02016">
        <w:rPr>
          <w:rFonts w:ascii="Arial" w:hAnsi="Arial" w:cs="Arial"/>
          <w:color w:val="4F81BD" w:themeColor="accent1"/>
          <w:sz w:val="24"/>
        </w:rPr>
        <w:t xml:space="preserve">Sirve de apoyo lo anterior, </w:t>
      </w:r>
      <w:r w:rsidRPr="00A02016">
        <w:rPr>
          <w:rFonts w:ascii="Arial" w:hAnsi="Arial" w:cs="Arial"/>
          <w:color w:val="4F81BD" w:themeColor="accent1"/>
          <w:sz w:val="24"/>
        </w:rPr>
        <w:t>la Tesis de Jurisprudencia I.4o.A. J/49</w:t>
      </w:r>
      <w:r w:rsidR="00746AA3" w:rsidRPr="00A02016">
        <w:rPr>
          <w:rFonts w:ascii="Arial" w:hAnsi="Arial" w:cs="Arial"/>
          <w:color w:val="4F81BD" w:themeColor="accent1"/>
          <w:sz w:val="24"/>
        </w:rPr>
        <w:t>,</w:t>
      </w:r>
      <w:r w:rsidRPr="00A02016">
        <w:rPr>
          <w:rFonts w:ascii="Arial" w:hAnsi="Arial" w:cs="Arial"/>
          <w:color w:val="4F81BD" w:themeColor="accent1"/>
          <w:sz w:val="24"/>
        </w:rPr>
        <w:t xml:space="preserve"> emitida por el Cuarto Tribunal Colegiado en Materia Administrativa del Primer Circuito, que señala: </w:t>
      </w:r>
    </w:p>
    <w:p w:rsidR="008C153C" w:rsidRPr="00A02016" w:rsidRDefault="008C153C" w:rsidP="008C153C">
      <w:pPr>
        <w:spacing w:line="240" w:lineRule="auto"/>
        <w:ind w:left="709" w:firstLine="709"/>
        <w:rPr>
          <w:rFonts w:ascii="Arial" w:hAnsi="Arial" w:cs="Arial"/>
          <w:i/>
          <w:color w:val="4F81BD" w:themeColor="accent1"/>
          <w:sz w:val="20"/>
          <w:szCs w:val="20"/>
        </w:rPr>
      </w:pPr>
      <w:r w:rsidRPr="00A02016">
        <w:rPr>
          <w:rFonts w:ascii="Arial" w:hAnsi="Arial" w:cs="Arial"/>
          <w:b/>
          <w:i/>
          <w:color w:val="4F81BD" w:themeColor="accent1"/>
          <w:sz w:val="20"/>
          <w:szCs w:val="20"/>
        </w:rPr>
        <w:t xml:space="preserve">ACTO ADMINISTRATIVO. SU VALIDEZ Y EFICACIA NO SE AFECTAN CON MOTIVO DE "ILEGALIDADES NO INVALIDANTES" QUE NO TRASCIENDEN NI CAUSAN INDEFENSIÓN O AGRAVIO. </w:t>
      </w:r>
      <w:r w:rsidRPr="00A02016">
        <w:rPr>
          <w:rFonts w:ascii="Arial" w:hAnsi="Arial" w:cs="Arial"/>
          <w:i/>
          <w:color w:val="4F81BD" w:themeColor="accent1"/>
          <w:sz w:val="20"/>
          <w:szCs w:val="20"/>
        </w:rPr>
        <w:t xml:space="preserve">Si la ilegalidad del acto de autoridad no se traduce en un perjuicio que afecte al particular, resulta irrelevante tal vicio, en tanto que se obtuvo el fin deseado, es decir, otorgar la oportunidad al gobernado para que ofreciera pruebas y alegara lo que a su derecho conviniere. En consecuencia, es evidente que no se dan los supuestos de ilegalidad a que se refiere el artículo 238, fracción III, del Código Fiscal de la Federación, ya que no se afectaron las defensas del particular, por lo que al no satisfacerse las condiciones legales para la eficacia de la ilegalidad en comento, resulta indebido, en el caso, declarar una nulidad cuando la ratio </w:t>
      </w:r>
      <w:proofErr w:type="spellStart"/>
      <w:r w:rsidRPr="00A02016">
        <w:rPr>
          <w:rFonts w:ascii="Arial" w:hAnsi="Arial" w:cs="Arial"/>
          <w:i/>
          <w:color w:val="4F81BD" w:themeColor="accent1"/>
          <w:sz w:val="20"/>
          <w:szCs w:val="20"/>
        </w:rPr>
        <w:t>legis</w:t>
      </w:r>
      <w:proofErr w:type="spellEnd"/>
      <w:r w:rsidRPr="00A02016">
        <w:rPr>
          <w:rFonts w:ascii="Arial" w:hAnsi="Arial" w:cs="Arial"/>
          <w:i/>
          <w:color w:val="4F81BD" w:themeColor="accent1"/>
          <w:sz w:val="20"/>
          <w:szCs w:val="20"/>
        </w:rPr>
        <w:t xml:space="preserve"> es muy clara, en el sentido de preservar y conservar actuaciones de la autoridad administrativa que, aunque ilegales, no generan afectación al particular, pues también debe atenderse y perseguir el beneficio de intereses colectivos, conducentes a asegurar efectos tales como una adecuada y eficiente recaudación fiscal, lo que justifica la prevención, clara e incondicional del legislador, en el sentido de salvaguardar la validez y eficacia de ciertas actuaciones. Y es así, que el artículo 237 del Código Fiscal de la Federación desarrolla el principio de presunción de legitimidad y conservación de los actos administrativos, que incluye lo que en la teoría del derecho administrativo se conoce como "ilegalidades no invalidantes", respecto de las cuales, por supuesto, no procede declarar su nulidad, sino confirmar la validez del acto administrativo. Luego entonces, es necesario que tales omisiones o vicios afecten las defensas del particular y trasciendan al sentido de la resolución impugnada y que ocasionen un perjuicio efectivo, porque de lo contrario el concepto de anulación esgrimido sería insuficiente y ocioso para declarar la nulidad de la resolución administrativa impugnada”. </w:t>
      </w:r>
    </w:p>
    <w:p w:rsidR="008C153C" w:rsidRPr="00A02016" w:rsidRDefault="008C153C" w:rsidP="008C153C">
      <w:pPr>
        <w:spacing w:before="240" w:after="240"/>
        <w:rPr>
          <w:rFonts w:ascii="Arial" w:hAnsi="Arial" w:cs="Arial"/>
          <w:color w:val="4F81BD" w:themeColor="accent1"/>
          <w:sz w:val="24"/>
        </w:rPr>
      </w:pPr>
      <w:r w:rsidRPr="00A02016">
        <w:rPr>
          <w:rFonts w:ascii="Arial" w:hAnsi="Arial" w:cs="Arial"/>
          <w:color w:val="4F81BD" w:themeColor="accent1"/>
          <w:sz w:val="24"/>
        </w:rPr>
        <w:tab/>
      </w:r>
      <w:r w:rsidR="00746AA3" w:rsidRPr="00A02016">
        <w:rPr>
          <w:rFonts w:ascii="Arial" w:hAnsi="Arial" w:cs="Arial"/>
          <w:color w:val="4F81BD" w:themeColor="accent1"/>
          <w:sz w:val="24"/>
        </w:rPr>
        <w:t xml:space="preserve">Bajo este contexto, resulta menester </w:t>
      </w:r>
      <w:r w:rsidRPr="00A02016">
        <w:rPr>
          <w:rFonts w:ascii="Arial" w:hAnsi="Arial" w:cs="Arial"/>
          <w:color w:val="4F81BD" w:themeColor="accent1"/>
          <w:sz w:val="24"/>
        </w:rPr>
        <w:t xml:space="preserve">puntualizar que la tesis antes transcrita resulta aplicable de manera modulada, es decir, que para efectos </w:t>
      </w:r>
      <w:r w:rsidR="00746AA3" w:rsidRPr="00A02016">
        <w:rPr>
          <w:rFonts w:ascii="Arial" w:hAnsi="Arial" w:cs="Arial"/>
          <w:color w:val="4F81BD" w:themeColor="accent1"/>
          <w:sz w:val="24"/>
        </w:rPr>
        <w:t>en</w:t>
      </w:r>
      <w:r w:rsidRPr="00A02016">
        <w:rPr>
          <w:rFonts w:ascii="Arial" w:hAnsi="Arial" w:cs="Arial"/>
          <w:color w:val="4F81BD" w:themeColor="accent1"/>
          <w:sz w:val="24"/>
        </w:rPr>
        <w:t xml:space="preserve"> materia de transparencia, los agravios, motivos de agravio o motivos de inconformidad realizados contra los documentos puestos a disposición mediante solicitudes de información no son sujetos a debate en el presente me</w:t>
      </w:r>
      <w:r w:rsidR="00746AA3" w:rsidRPr="00A02016">
        <w:rPr>
          <w:rFonts w:ascii="Arial" w:hAnsi="Arial" w:cs="Arial"/>
          <w:color w:val="4F81BD" w:themeColor="accent1"/>
          <w:sz w:val="24"/>
        </w:rPr>
        <w:t xml:space="preserve">dio de impugnación, máxime que </w:t>
      </w:r>
      <w:r w:rsidRPr="00A02016">
        <w:rPr>
          <w:rFonts w:ascii="Arial" w:hAnsi="Arial" w:cs="Arial"/>
          <w:color w:val="4F81BD" w:themeColor="accent1"/>
          <w:sz w:val="24"/>
        </w:rPr>
        <w:t xml:space="preserve">los planteamientos que se </w:t>
      </w:r>
      <w:r w:rsidR="00746AA3" w:rsidRPr="00A02016">
        <w:rPr>
          <w:rFonts w:ascii="Arial" w:hAnsi="Arial" w:cs="Arial"/>
          <w:color w:val="4F81BD" w:themeColor="accent1"/>
          <w:sz w:val="24"/>
        </w:rPr>
        <w:t xml:space="preserve">formulen </w:t>
      </w:r>
      <w:r w:rsidRPr="00A02016">
        <w:rPr>
          <w:rFonts w:ascii="Arial" w:hAnsi="Arial" w:cs="Arial"/>
          <w:color w:val="4F81BD" w:themeColor="accent1"/>
          <w:sz w:val="24"/>
        </w:rPr>
        <w:t xml:space="preserve">pudieran devenir de ilegalidades contenidas en el documento, </w:t>
      </w:r>
      <w:r w:rsidR="00746AA3" w:rsidRPr="00A02016">
        <w:rPr>
          <w:rFonts w:ascii="Arial" w:hAnsi="Arial" w:cs="Arial"/>
          <w:color w:val="4F81BD" w:themeColor="accent1"/>
          <w:sz w:val="24"/>
        </w:rPr>
        <w:t>por lo que para e</w:t>
      </w:r>
      <w:r w:rsidRPr="00A02016">
        <w:rPr>
          <w:rFonts w:ascii="Arial" w:hAnsi="Arial" w:cs="Arial"/>
          <w:color w:val="4F81BD" w:themeColor="accent1"/>
          <w:sz w:val="24"/>
        </w:rPr>
        <w:t>fectos de la materia</w:t>
      </w:r>
      <w:r w:rsidR="00746AA3" w:rsidRPr="00A02016">
        <w:rPr>
          <w:rFonts w:ascii="Arial" w:hAnsi="Arial" w:cs="Arial"/>
          <w:color w:val="4F81BD" w:themeColor="accent1"/>
          <w:sz w:val="24"/>
        </w:rPr>
        <w:t>, ello no trasciende</w:t>
      </w:r>
      <w:r w:rsidRPr="00A02016">
        <w:rPr>
          <w:rFonts w:ascii="Arial" w:hAnsi="Arial" w:cs="Arial"/>
          <w:color w:val="4F81BD" w:themeColor="accent1"/>
          <w:sz w:val="24"/>
        </w:rPr>
        <w:t xml:space="preserve"> en la tutela efectiva del derecho de acceso</w:t>
      </w:r>
      <w:r w:rsidR="00746AA3" w:rsidRPr="00A02016">
        <w:rPr>
          <w:rFonts w:ascii="Arial" w:hAnsi="Arial" w:cs="Arial"/>
          <w:color w:val="4F81BD" w:themeColor="accent1"/>
          <w:sz w:val="24"/>
        </w:rPr>
        <w:t xml:space="preserve"> a la información</w:t>
      </w:r>
      <w:r w:rsidRPr="00A02016">
        <w:rPr>
          <w:rFonts w:ascii="Arial" w:hAnsi="Arial" w:cs="Arial"/>
          <w:color w:val="4F81BD" w:themeColor="accent1"/>
          <w:sz w:val="24"/>
        </w:rPr>
        <w:t xml:space="preserve">, ya que la finalidad de éste derecho es propiamente que las personas conozcan la actuación administrativa de las autoridades, quienes podrán mediante los medios de control de legalidad conducentes impugnar o atacar la legalidad de dicha actuación, pero </w:t>
      </w:r>
      <w:r w:rsidR="00746AA3" w:rsidRPr="00A02016">
        <w:rPr>
          <w:rFonts w:ascii="Arial" w:hAnsi="Arial" w:cs="Arial"/>
          <w:color w:val="4F81BD" w:themeColor="accent1"/>
          <w:sz w:val="24"/>
        </w:rPr>
        <w:t xml:space="preserve">en la presente causa, </w:t>
      </w:r>
      <w:r w:rsidRPr="00A02016">
        <w:rPr>
          <w:rFonts w:ascii="Arial" w:hAnsi="Arial" w:cs="Arial"/>
          <w:color w:val="4F81BD" w:themeColor="accent1"/>
          <w:sz w:val="24"/>
        </w:rPr>
        <w:t>la Ley General de Transparencia y Acceso a la Información Pública en su artículo 143 no establece como una hipótesis de procedencia las ilegalidades de forma y fondo de los documentos sujetos de ser transparentados.</w:t>
      </w:r>
    </w:p>
    <w:p w:rsidR="000251CB" w:rsidRPr="00A02016" w:rsidRDefault="000251CB" w:rsidP="000251CB">
      <w:pPr>
        <w:ind w:firstLine="709"/>
        <w:rPr>
          <w:rFonts w:ascii="Arial" w:hAnsi="Arial" w:cs="Arial"/>
          <w:color w:val="4F81BD" w:themeColor="accent1"/>
          <w:szCs w:val="26"/>
        </w:rPr>
      </w:pPr>
      <w:r w:rsidRPr="00A02016">
        <w:rPr>
          <w:rFonts w:ascii="Arial" w:hAnsi="Arial" w:cs="Arial"/>
          <w:iCs/>
          <w:color w:val="4F81BD" w:themeColor="accent1"/>
          <w:szCs w:val="26"/>
        </w:rPr>
        <w:t>Así, al actualizarse la causa de improcedencia en estudio</w:t>
      </w:r>
      <w:r w:rsidRPr="00A02016">
        <w:rPr>
          <w:rFonts w:ascii="Arial" w:hAnsi="Arial" w:cs="Arial"/>
          <w:color w:val="4F81BD" w:themeColor="accent1"/>
          <w:szCs w:val="26"/>
        </w:rPr>
        <w:t>, con fundamento en lo establecido por la fracción IV del artículo 180 de la ley de la materia, procede sobreseer en el presente Recurso de Revisión, promovido por el particular en contra de la respuesta emitida por la Secretaría de Educación de Gobierno del Estado.</w:t>
      </w:r>
    </w:p>
    <w:p w:rsidR="000251CB" w:rsidRPr="00A02016" w:rsidRDefault="000251CB" w:rsidP="000251CB">
      <w:pPr>
        <w:autoSpaceDE w:val="0"/>
        <w:autoSpaceDN w:val="0"/>
        <w:adjustRightInd w:val="0"/>
        <w:ind w:right="51" w:firstLine="709"/>
        <w:rPr>
          <w:rFonts w:ascii="Arial" w:hAnsi="Arial" w:cs="Arial"/>
          <w:color w:val="4F81BD" w:themeColor="accent1"/>
          <w:szCs w:val="26"/>
        </w:rPr>
      </w:pPr>
      <w:r w:rsidRPr="00A02016">
        <w:rPr>
          <w:rFonts w:ascii="Arial" w:hAnsi="Arial" w:cs="Arial"/>
          <w:color w:val="4F81BD" w:themeColor="accent1"/>
          <w:szCs w:val="26"/>
        </w:rPr>
        <w:t>El sobreseimiento decretado impide abordar el estudio de las cuestiones de fondo planteadas.</w:t>
      </w:r>
    </w:p>
    <w:p w:rsidR="000251CB" w:rsidRPr="00A02016" w:rsidRDefault="000251CB" w:rsidP="000251CB">
      <w:pPr>
        <w:ind w:firstLine="709"/>
        <w:rPr>
          <w:rFonts w:ascii="Arial" w:hAnsi="Arial" w:cs="Arial"/>
          <w:color w:val="4F81BD" w:themeColor="accent1"/>
          <w:szCs w:val="26"/>
        </w:rPr>
      </w:pPr>
      <w:r w:rsidRPr="00A02016">
        <w:rPr>
          <w:rFonts w:ascii="Arial" w:hAnsi="Arial" w:cs="Arial"/>
          <w:color w:val="4F81BD" w:themeColor="accent1"/>
          <w:szCs w:val="26"/>
        </w:rPr>
        <w:t>Sirve de apoyo a lo dicho la jurisprudencia</w:t>
      </w:r>
      <w:r w:rsidRPr="00A02016">
        <w:rPr>
          <w:rStyle w:val="Refdenotaalpie"/>
          <w:rFonts w:ascii="Arial" w:hAnsi="Arial" w:cs="Arial"/>
          <w:color w:val="4F81BD" w:themeColor="accent1"/>
          <w:szCs w:val="26"/>
        </w:rPr>
        <w:footnoteReference w:id="1"/>
      </w:r>
      <w:r w:rsidRPr="00A02016">
        <w:rPr>
          <w:rFonts w:ascii="Arial" w:hAnsi="Arial" w:cs="Arial"/>
          <w:color w:val="4F81BD" w:themeColor="accent1"/>
          <w:szCs w:val="26"/>
        </w:rPr>
        <w:t>,- por analogía- cuyo texto dice:</w:t>
      </w:r>
    </w:p>
    <w:p w:rsidR="000251CB" w:rsidRPr="00A02016" w:rsidRDefault="000251CB" w:rsidP="000251CB">
      <w:pPr>
        <w:spacing w:line="240" w:lineRule="auto"/>
        <w:ind w:left="709" w:firstLine="707"/>
        <w:rPr>
          <w:rFonts w:ascii="Arial" w:hAnsi="Arial" w:cs="Arial"/>
          <w:color w:val="4F81BD" w:themeColor="accent1"/>
          <w:sz w:val="22"/>
          <w:szCs w:val="22"/>
        </w:rPr>
      </w:pPr>
      <w:r w:rsidRPr="00A02016">
        <w:rPr>
          <w:rFonts w:ascii="Arial" w:hAnsi="Arial" w:cs="Arial"/>
          <w:color w:val="4F81BD" w:themeColor="accent1"/>
          <w:sz w:val="22"/>
          <w:szCs w:val="22"/>
        </w:rPr>
        <w:t>“</w:t>
      </w:r>
      <w:r w:rsidRPr="00A02016">
        <w:rPr>
          <w:rFonts w:ascii="Arial" w:hAnsi="Arial" w:cs="Arial"/>
          <w:b/>
          <w:i/>
          <w:color w:val="4F81BD" w:themeColor="accent1"/>
          <w:sz w:val="22"/>
          <w:szCs w:val="22"/>
        </w:rPr>
        <w:t>SOBRESEIMIENTO. IMPIDE ENTRAR A ANALIZAR EL ESTUDIO DE LAS CUESTIONES DE FONDO.</w:t>
      </w:r>
      <w:r w:rsidRPr="00A02016">
        <w:rPr>
          <w:rFonts w:ascii="Arial" w:hAnsi="Arial" w:cs="Arial"/>
          <w:i/>
          <w:color w:val="4F81BD" w:themeColor="accent1"/>
          <w:sz w:val="22"/>
          <w:szCs w:val="22"/>
        </w:rPr>
        <w:t xml:space="preserve"> Cuando se acredita en el juicio de garantías cualquier causal de improcedencia y se decreta el sobreseimiento, no causa ningún agravio la sentencia que deja de ocuparse de los argumentos tendientes a demostrar la violación de garantías por los actos reclamados de las autoridades responsables, lo que constituye el problema de fondo, porque aquella cuestión es de estudio preferente</w:t>
      </w:r>
      <w:r w:rsidRPr="00A02016">
        <w:rPr>
          <w:rFonts w:ascii="Arial" w:hAnsi="Arial" w:cs="Arial"/>
          <w:color w:val="4F81BD" w:themeColor="accent1"/>
          <w:sz w:val="22"/>
          <w:szCs w:val="22"/>
        </w:rPr>
        <w:t>”.</w:t>
      </w:r>
    </w:p>
    <w:p w:rsidR="000251CB" w:rsidRPr="00A02016" w:rsidRDefault="000251CB" w:rsidP="000251CB">
      <w:pPr>
        <w:spacing w:line="240" w:lineRule="auto"/>
        <w:ind w:right="51" w:firstLine="709"/>
        <w:rPr>
          <w:rFonts w:ascii="Arial" w:hAnsi="Arial" w:cs="Arial"/>
          <w:color w:val="4F81BD" w:themeColor="accent1"/>
          <w:szCs w:val="26"/>
        </w:rPr>
      </w:pPr>
    </w:p>
    <w:p w:rsidR="000251CB" w:rsidRPr="00A02016" w:rsidRDefault="000251CB" w:rsidP="000251CB">
      <w:pPr>
        <w:spacing w:before="240"/>
        <w:ind w:firstLine="708"/>
        <w:rPr>
          <w:rFonts w:ascii="Arial" w:hAnsi="Arial" w:cs="Arial"/>
          <w:color w:val="4F81BD" w:themeColor="accent1"/>
        </w:rPr>
      </w:pPr>
      <w:r w:rsidRPr="00A02016">
        <w:rPr>
          <w:rFonts w:ascii="Arial" w:hAnsi="Arial" w:cs="Arial"/>
          <w:color w:val="4F81BD" w:themeColor="accent1"/>
        </w:rPr>
        <w:t xml:space="preserve">En razón de lo expuesto, es que esta Comisión, con fundamento en el artículo 180, fracción IV de la Ley de Transparencia y Acceso a la Información Pública, sobresee el presente recurso por las razones y fundamentos expuestos con antelación. </w:t>
      </w:r>
    </w:p>
    <w:p w:rsidR="000251CB" w:rsidRPr="00A02016" w:rsidRDefault="000251CB" w:rsidP="000251CB">
      <w:pPr>
        <w:shd w:val="clear" w:color="auto" w:fill="FFFFFF"/>
        <w:spacing w:before="100" w:beforeAutospacing="1" w:after="100" w:afterAutospacing="1" w:line="288" w:lineRule="atLeast"/>
        <w:ind w:firstLine="708"/>
        <w:rPr>
          <w:rFonts w:ascii="Arial" w:hAnsi="Arial" w:cs="Arial"/>
          <w:color w:val="4F81BD" w:themeColor="accent1"/>
          <w:szCs w:val="26"/>
          <w:lang w:val="es-MX" w:eastAsia="es-MX"/>
        </w:rPr>
      </w:pPr>
      <w:r w:rsidRPr="00A02016">
        <w:rPr>
          <w:rFonts w:ascii="Arial" w:hAnsi="Arial" w:cs="Arial"/>
          <w:color w:val="4F81BD" w:themeColor="accent1"/>
          <w:szCs w:val="26"/>
          <w:lang w:val="es-MX" w:eastAsia="es-MX"/>
        </w:rPr>
        <w:t>Por lo anteriormente expuesto y fundado se:</w:t>
      </w:r>
    </w:p>
    <w:p w:rsidR="000251CB" w:rsidRPr="00A02016" w:rsidRDefault="000251CB" w:rsidP="000251CB">
      <w:pPr>
        <w:shd w:val="clear" w:color="auto" w:fill="FFFFFF"/>
        <w:spacing w:before="100" w:beforeAutospacing="1" w:after="100" w:afterAutospacing="1" w:line="288" w:lineRule="atLeast"/>
        <w:ind w:firstLine="708"/>
        <w:rPr>
          <w:rFonts w:ascii="Arial" w:hAnsi="Arial" w:cs="Arial"/>
          <w:color w:val="4F81BD" w:themeColor="accent1"/>
          <w:szCs w:val="26"/>
          <w:lang w:val="es-MX" w:eastAsia="es-MX"/>
        </w:rPr>
      </w:pPr>
    </w:p>
    <w:p w:rsidR="000251CB" w:rsidRPr="00A02016" w:rsidRDefault="000251CB" w:rsidP="000251CB">
      <w:pPr>
        <w:shd w:val="clear" w:color="auto" w:fill="FFFFFF"/>
        <w:spacing w:line="288" w:lineRule="atLeast"/>
        <w:jc w:val="center"/>
        <w:rPr>
          <w:rFonts w:ascii="Arial" w:hAnsi="Arial" w:cs="Arial"/>
          <w:b/>
          <w:bCs/>
          <w:color w:val="4F81BD" w:themeColor="accent1"/>
          <w:szCs w:val="26"/>
          <w:lang w:val="es-MX" w:eastAsia="es-MX"/>
        </w:rPr>
      </w:pPr>
      <w:r w:rsidRPr="00A02016">
        <w:rPr>
          <w:rFonts w:ascii="Arial" w:hAnsi="Arial" w:cs="Arial"/>
          <w:b/>
          <w:bCs/>
          <w:color w:val="4F81BD" w:themeColor="accent1"/>
          <w:szCs w:val="26"/>
          <w:lang w:val="es-MX" w:eastAsia="es-MX"/>
        </w:rPr>
        <w:t>R E S U E L V E:</w:t>
      </w:r>
    </w:p>
    <w:p w:rsidR="000251CB" w:rsidRPr="00A02016" w:rsidRDefault="000251CB" w:rsidP="000251CB">
      <w:pPr>
        <w:spacing w:before="240" w:after="240"/>
        <w:rPr>
          <w:rFonts w:ascii="Arial" w:hAnsi="Arial" w:cs="Arial"/>
          <w:color w:val="4F81BD" w:themeColor="accent1"/>
        </w:rPr>
      </w:pPr>
      <w:r w:rsidRPr="00A02016">
        <w:rPr>
          <w:rFonts w:ascii="Arial" w:hAnsi="Arial" w:cs="Arial"/>
          <w:b/>
          <w:color w:val="4F81BD" w:themeColor="accent1"/>
        </w:rPr>
        <w:tab/>
        <w:t xml:space="preserve">PRIMERO. </w:t>
      </w:r>
      <w:r w:rsidRPr="00A02016">
        <w:rPr>
          <w:rFonts w:ascii="Arial" w:hAnsi="Arial" w:cs="Arial"/>
          <w:color w:val="4F81BD" w:themeColor="accent1"/>
        </w:rPr>
        <w:t xml:space="preserve">Se </w:t>
      </w:r>
      <w:r w:rsidRPr="00A02016">
        <w:rPr>
          <w:rFonts w:ascii="Arial" w:hAnsi="Arial" w:cs="Arial"/>
          <w:b/>
          <w:color w:val="4F81BD" w:themeColor="accent1"/>
        </w:rPr>
        <w:t>sobresee</w:t>
      </w:r>
      <w:r w:rsidRPr="00A02016">
        <w:rPr>
          <w:rFonts w:ascii="Arial" w:hAnsi="Arial" w:cs="Arial"/>
          <w:color w:val="4F81BD" w:themeColor="accent1"/>
        </w:rPr>
        <w:t xml:space="preserve"> la presente causa por las razones expuestas en el considerando tercero de la presente resolución.</w:t>
      </w:r>
    </w:p>
    <w:p w:rsidR="000251CB" w:rsidRPr="00A02016" w:rsidRDefault="000251CB" w:rsidP="000251CB">
      <w:pPr>
        <w:spacing w:before="240" w:after="240"/>
        <w:rPr>
          <w:rFonts w:ascii="Arial" w:hAnsi="Arial" w:cs="Arial"/>
          <w:b/>
          <w:color w:val="4F81BD" w:themeColor="accent1"/>
        </w:rPr>
      </w:pPr>
      <w:r w:rsidRPr="00A02016">
        <w:rPr>
          <w:rFonts w:ascii="Arial" w:hAnsi="Arial" w:cs="Arial"/>
          <w:b/>
          <w:color w:val="4F81BD" w:themeColor="accent1"/>
        </w:rPr>
        <w:tab/>
        <w:t>Notifíquese personalmente a las partes el contenido de la presente resolución, de conformidad con el artículo 177 de la Ley de Transparencia y Acceso a la Información Pública del Estado, en el entendido de que la notificación que se realice al sujeto obligado será acorde a lo señalado en el numeral 58 del citado ordenamiento.</w:t>
      </w:r>
    </w:p>
    <w:p w:rsidR="000251CB" w:rsidRPr="00A02016" w:rsidRDefault="000251CB" w:rsidP="000251CB">
      <w:pPr>
        <w:spacing w:before="240" w:after="240"/>
        <w:rPr>
          <w:rFonts w:ascii="Arial" w:hAnsi="Arial" w:cs="Arial"/>
          <w:color w:val="4F81BD" w:themeColor="accent1"/>
        </w:rPr>
      </w:pPr>
      <w:r w:rsidRPr="00A02016">
        <w:rPr>
          <w:rFonts w:ascii="Arial" w:hAnsi="Arial" w:cs="Arial"/>
          <w:color w:val="4F81BD" w:themeColor="accent1"/>
        </w:rPr>
        <w:tab/>
        <w:t>Se hace de conocimiento del recurrente que, en caso de no estar de acuerdo con los términos de la presente resolución, podrá impugnar el presente fallo a través del Juicio de Amparo indirecto que promueva ante el Poder Judicial de la Federación. Lo anterior con fundamento en el artículo 159 de la Ley General de Transparencia y Acceso a la Información Pública.</w:t>
      </w:r>
    </w:p>
    <w:p w:rsidR="000251CB" w:rsidRPr="00A02016" w:rsidRDefault="000251CB" w:rsidP="000251CB">
      <w:pPr>
        <w:spacing w:before="240" w:after="240"/>
        <w:rPr>
          <w:rFonts w:ascii="Arial" w:hAnsi="Arial" w:cs="Arial"/>
          <w:color w:val="4F81BD" w:themeColor="accent1"/>
        </w:rPr>
      </w:pPr>
      <w:r w:rsidRPr="00A02016">
        <w:rPr>
          <w:rFonts w:ascii="Arial" w:hAnsi="Arial" w:cs="Arial"/>
          <w:b/>
          <w:color w:val="4F81BD" w:themeColor="accent1"/>
          <w:szCs w:val="26"/>
        </w:rPr>
        <w:tab/>
      </w:r>
      <w:r w:rsidRPr="00A02016">
        <w:rPr>
          <w:rFonts w:ascii="Arial" w:hAnsi="Arial" w:cs="Arial"/>
          <w:color w:val="4F81BD" w:themeColor="accent1"/>
        </w:rPr>
        <w:t>Así lo resuelve, por unanimidad de votos, el pleno de la Comisión Estatal de Garantía de Acceso a la Información Pública, conformado por los Comisionados Alejando Lafuente Torres, Paulina Sánchez Pérez del Pozo y Claudia Elizabeth Ávalos Cedillo, en la sesión extraordinaria del catorce de diciembre de dos mil dieciocho, ante la Secretaria de Pleno Rosa María Motilla García.</w:t>
      </w: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4394"/>
      </w:tblGrid>
      <w:tr w:rsidR="00A02016" w:rsidRPr="00A02016" w:rsidTr="00D41BBD">
        <w:tc>
          <w:tcPr>
            <w:tcW w:w="4503" w:type="dxa"/>
          </w:tcPr>
          <w:p w:rsidR="000251CB" w:rsidRPr="00A02016" w:rsidRDefault="000251CB" w:rsidP="00D41BBD">
            <w:pPr>
              <w:spacing w:after="240"/>
              <w:jc w:val="center"/>
              <w:rPr>
                <w:rFonts w:ascii="Arial" w:hAnsi="Arial" w:cs="Arial"/>
                <w:b/>
                <w:color w:val="4F81BD" w:themeColor="accent1"/>
                <w:sz w:val="24"/>
                <w:szCs w:val="26"/>
              </w:rPr>
            </w:pPr>
            <w:r w:rsidRPr="00A02016">
              <w:rPr>
                <w:rFonts w:ascii="Arial" w:hAnsi="Arial" w:cs="Arial"/>
                <w:b/>
                <w:color w:val="4F81BD" w:themeColor="accent1"/>
                <w:sz w:val="24"/>
                <w:szCs w:val="26"/>
              </w:rPr>
              <w:t>COMISIONADO PRESIDENTE</w:t>
            </w:r>
          </w:p>
          <w:p w:rsidR="000251CB" w:rsidRPr="00A02016" w:rsidRDefault="000251CB" w:rsidP="00D41BBD">
            <w:pPr>
              <w:spacing w:before="240" w:after="240"/>
              <w:jc w:val="center"/>
              <w:rPr>
                <w:rFonts w:ascii="Arial" w:hAnsi="Arial" w:cs="Arial"/>
                <w:b/>
                <w:color w:val="4F81BD" w:themeColor="accent1"/>
                <w:sz w:val="24"/>
                <w:szCs w:val="26"/>
              </w:rPr>
            </w:pPr>
          </w:p>
          <w:p w:rsidR="000251CB" w:rsidRPr="00A02016" w:rsidRDefault="000251CB" w:rsidP="00D41BBD">
            <w:pPr>
              <w:spacing w:before="240" w:after="240"/>
              <w:jc w:val="center"/>
              <w:rPr>
                <w:rFonts w:ascii="Arial" w:hAnsi="Arial" w:cs="Arial"/>
                <w:color w:val="4F81BD" w:themeColor="accent1"/>
              </w:rPr>
            </w:pPr>
            <w:r w:rsidRPr="00A02016">
              <w:rPr>
                <w:rFonts w:ascii="Arial" w:hAnsi="Arial" w:cs="Arial"/>
                <w:b/>
                <w:color w:val="4F81BD" w:themeColor="accent1"/>
                <w:sz w:val="24"/>
                <w:szCs w:val="26"/>
              </w:rPr>
              <w:t>ALEJANDRO LAFUENTE TORRES</w:t>
            </w:r>
          </w:p>
        </w:tc>
        <w:tc>
          <w:tcPr>
            <w:tcW w:w="4394" w:type="dxa"/>
          </w:tcPr>
          <w:p w:rsidR="000251CB" w:rsidRPr="00A02016" w:rsidRDefault="000251CB" w:rsidP="00D41BBD">
            <w:pPr>
              <w:spacing w:after="240"/>
              <w:ind w:left="48"/>
              <w:jc w:val="center"/>
              <w:rPr>
                <w:rFonts w:ascii="Arial" w:hAnsi="Arial" w:cs="Arial"/>
                <w:b/>
                <w:color w:val="4F81BD" w:themeColor="accent1"/>
                <w:sz w:val="24"/>
                <w:szCs w:val="26"/>
              </w:rPr>
            </w:pPr>
            <w:r w:rsidRPr="00A02016">
              <w:rPr>
                <w:rFonts w:ascii="Arial" w:hAnsi="Arial" w:cs="Arial"/>
                <w:b/>
                <w:color w:val="4F81BD" w:themeColor="accent1"/>
                <w:sz w:val="24"/>
                <w:szCs w:val="26"/>
              </w:rPr>
              <w:t>COMISIONADA</w:t>
            </w:r>
          </w:p>
          <w:p w:rsidR="000251CB" w:rsidRPr="00A02016" w:rsidRDefault="000251CB" w:rsidP="00D41BBD">
            <w:pPr>
              <w:spacing w:before="240" w:after="240"/>
              <w:jc w:val="center"/>
              <w:rPr>
                <w:rFonts w:ascii="Arial" w:hAnsi="Arial" w:cs="Arial"/>
                <w:b/>
                <w:color w:val="4F81BD" w:themeColor="accent1"/>
                <w:sz w:val="24"/>
                <w:szCs w:val="26"/>
              </w:rPr>
            </w:pPr>
          </w:p>
          <w:p w:rsidR="000251CB" w:rsidRPr="00A02016" w:rsidRDefault="000251CB" w:rsidP="00D41BBD">
            <w:pPr>
              <w:spacing w:before="240" w:after="240"/>
              <w:jc w:val="center"/>
              <w:rPr>
                <w:rFonts w:ascii="Arial" w:hAnsi="Arial" w:cs="Arial"/>
                <w:b/>
                <w:color w:val="4F81BD" w:themeColor="accent1"/>
                <w:sz w:val="24"/>
                <w:szCs w:val="26"/>
              </w:rPr>
            </w:pPr>
            <w:r w:rsidRPr="00A02016">
              <w:rPr>
                <w:rFonts w:ascii="Arial" w:hAnsi="Arial" w:cs="Arial"/>
                <w:b/>
                <w:color w:val="4F81BD" w:themeColor="accent1"/>
                <w:sz w:val="24"/>
                <w:szCs w:val="26"/>
              </w:rPr>
              <w:t>PAULINA SÁNCHEZ PÉREZ DEL POZO</w:t>
            </w:r>
          </w:p>
          <w:p w:rsidR="000251CB" w:rsidRPr="00A02016" w:rsidRDefault="000251CB" w:rsidP="00D41BBD">
            <w:pPr>
              <w:spacing w:before="240" w:after="240"/>
              <w:jc w:val="center"/>
              <w:rPr>
                <w:rFonts w:ascii="Arial" w:hAnsi="Arial" w:cs="Arial"/>
                <w:color w:val="4F81BD" w:themeColor="accent1"/>
              </w:rPr>
            </w:pPr>
          </w:p>
        </w:tc>
      </w:tr>
      <w:tr w:rsidR="00A02016" w:rsidRPr="00A02016" w:rsidTr="00D41BBD">
        <w:trPr>
          <w:trHeight w:val="2075"/>
        </w:trPr>
        <w:tc>
          <w:tcPr>
            <w:tcW w:w="4503" w:type="dxa"/>
          </w:tcPr>
          <w:p w:rsidR="000251CB" w:rsidRPr="00A02016" w:rsidRDefault="000251CB" w:rsidP="00D41BBD">
            <w:pPr>
              <w:spacing w:after="240" w:line="276" w:lineRule="auto"/>
              <w:jc w:val="center"/>
              <w:rPr>
                <w:rFonts w:ascii="Arial" w:hAnsi="Arial" w:cs="Arial"/>
                <w:b/>
                <w:color w:val="4F81BD" w:themeColor="accent1"/>
                <w:sz w:val="24"/>
                <w:szCs w:val="26"/>
              </w:rPr>
            </w:pPr>
            <w:r w:rsidRPr="00A02016">
              <w:rPr>
                <w:rFonts w:ascii="Arial" w:hAnsi="Arial" w:cs="Arial"/>
                <w:b/>
                <w:color w:val="4F81BD" w:themeColor="accent1"/>
                <w:sz w:val="24"/>
                <w:szCs w:val="26"/>
              </w:rPr>
              <w:t>COMISIONADA</w:t>
            </w:r>
          </w:p>
          <w:p w:rsidR="000251CB" w:rsidRPr="00A02016" w:rsidRDefault="000251CB" w:rsidP="00D41BBD">
            <w:pPr>
              <w:spacing w:line="276" w:lineRule="auto"/>
              <w:rPr>
                <w:rFonts w:ascii="Arial" w:hAnsi="Arial" w:cs="Arial"/>
                <w:b/>
                <w:color w:val="4F81BD" w:themeColor="accent1"/>
                <w:sz w:val="24"/>
                <w:szCs w:val="26"/>
              </w:rPr>
            </w:pPr>
          </w:p>
          <w:p w:rsidR="000251CB" w:rsidRPr="00A02016" w:rsidRDefault="000251CB" w:rsidP="00D41BBD">
            <w:pPr>
              <w:rPr>
                <w:rFonts w:ascii="Arial" w:hAnsi="Arial" w:cs="Arial"/>
                <w:b/>
                <w:color w:val="4F81BD" w:themeColor="accent1"/>
                <w:sz w:val="24"/>
                <w:szCs w:val="26"/>
              </w:rPr>
            </w:pPr>
          </w:p>
          <w:p w:rsidR="000251CB" w:rsidRPr="00A02016" w:rsidRDefault="000251CB" w:rsidP="00D41BBD">
            <w:pPr>
              <w:spacing w:before="240" w:after="240" w:line="276" w:lineRule="auto"/>
              <w:jc w:val="center"/>
              <w:rPr>
                <w:rFonts w:ascii="Arial" w:hAnsi="Arial" w:cs="Arial"/>
                <w:color w:val="4F81BD" w:themeColor="accent1"/>
              </w:rPr>
            </w:pPr>
            <w:r w:rsidRPr="00A02016">
              <w:rPr>
                <w:rFonts w:ascii="Arial" w:hAnsi="Arial" w:cs="Arial"/>
                <w:b/>
                <w:color w:val="4F81BD" w:themeColor="accent1"/>
                <w:sz w:val="24"/>
                <w:szCs w:val="26"/>
              </w:rPr>
              <w:t>CLAUDIA ELIZABETH ÁVALOS CEDILLO</w:t>
            </w:r>
          </w:p>
        </w:tc>
        <w:tc>
          <w:tcPr>
            <w:tcW w:w="4394" w:type="dxa"/>
          </w:tcPr>
          <w:p w:rsidR="000251CB" w:rsidRPr="00A02016" w:rsidRDefault="000251CB" w:rsidP="00D41BBD">
            <w:pPr>
              <w:ind w:left="48" w:firstLine="2"/>
              <w:jc w:val="center"/>
              <w:rPr>
                <w:rFonts w:ascii="Arial" w:hAnsi="Arial" w:cs="Arial"/>
                <w:b/>
                <w:color w:val="4F81BD" w:themeColor="accent1"/>
                <w:sz w:val="24"/>
                <w:szCs w:val="26"/>
              </w:rPr>
            </w:pPr>
            <w:r w:rsidRPr="00A02016">
              <w:rPr>
                <w:rFonts w:ascii="Arial" w:hAnsi="Arial" w:cs="Arial"/>
                <w:b/>
                <w:color w:val="4F81BD" w:themeColor="accent1"/>
                <w:sz w:val="24"/>
                <w:szCs w:val="26"/>
              </w:rPr>
              <w:t>SECRETARIA DE PLENO</w:t>
            </w:r>
          </w:p>
          <w:p w:rsidR="000251CB" w:rsidRPr="00A02016" w:rsidRDefault="000251CB" w:rsidP="00D41BBD">
            <w:pPr>
              <w:ind w:left="48"/>
              <w:jc w:val="center"/>
              <w:rPr>
                <w:rFonts w:ascii="Arial" w:hAnsi="Arial" w:cs="Arial"/>
                <w:b/>
                <w:color w:val="4F81BD" w:themeColor="accent1"/>
                <w:sz w:val="24"/>
                <w:szCs w:val="26"/>
              </w:rPr>
            </w:pPr>
          </w:p>
          <w:p w:rsidR="000251CB" w:rsidRPr="00A02016" w:rsidRDefault="000251CB" w:rsidP="00D41BBD">
            <w:pPr>
              <w:spacing w:before="240"/>
              <w:rPr>
                <w:rFonts w:ascii="Arial" w:hAnsi="Arial" w:cs="Arial"/>
                <w:b/>
                <w:color w:val="4F81BD" w:themeColor="accent1"/>
                <w:sz w:val="24"/>
                <w:szCs w:val="26"/>
              </w:rPr>
            </w:pPr>
          </w:p>
          <w:p w:rsidR="000251CB" w:rsidRPr="00A02016" w:rsidRDefault="000251CB" w:rsidP="00D41BBD">
            <w:pPr>
              <w:ind w:left="48"/>
              <w:jc w:val="center"/>
              <w:rPr>
                <w:rFonts w:ascii="Arial" w:hAnsi="Arial" w:cs="Arial"/>
                <w:b/>
                <w:color w:val="4F81BD" w:themeColor="accent1"/>
                <w:sz w:val="24"/>
                <w:szCs w:val="26"/>
              </w:rPr>
            </w:pPr>
            <w:r w:rsidRPr="00A02016">
              <w:rPr>
                <w:rFonts w:ascii="Arial" w:hAnsi="Arial" w:cs="Arial"/>
                <w:b/>
                <w:color w:val="4F81BD" w:themeColor="accent1"/>
                <w:sz w:val="24"/>
                <w:szCs w:val="26"/>
              </w:rPr>
              <w:t>ROSA MARÍA MOTILLA GARCÍA</w:t>
            </w:r>
          </w:p>
        </w:tc>
      </w:tr>
    </w:tbl>
    <w:tbl>
      <w:tblPr>
        <w:tblW w:w="10613" w:type="dxa"/>
        <w:jc w:val="center"/>
        <w:tblLook w:val="01E0" w:firstRow="1" w:lastRow="1" w:firstColumn="1" w:lastColumn="1" w:noHBand="0" w:noVBand="0"/>
      </w:tblPr>
      <w:tblGrid>
        <w:gridCol w:w="4880"/>
        <w:gridCol w:w="358"/>
        <w:gridCol w:w="5375"/>
      </w:tblGrid>
      <w:tr w:rsidR="00A02016" w:rsidRPr="00A02016" w:rsidTr="00D41BBD">
        <w:trPr>
          <w:trHeight w:val="244"/>
          <w:jc w:val="center"/>
        </w:trPr>
        <w:tc>
          <w:tcPr>
            <w:tcW w:w="4880" w:type="dxa"/>
          </w:tcPr>
          <w:p w:rsidR="000251CB" w:rsidRPr="00A02016" w:rsidRDefault="000251CB" w:rsidP="00D41BBD">
            <w:pPr>
              <w:ind w:left="97"/>
              <w:jc w:val="center"/>
              <w:rPr>
                <w:rFonts w:ascii="Arial" w:hAnsi="Arial" w:cs="Arial"/>
                <w:b/>
                <w:color w:val="4F81BD" w:themeColor="accent1"/>
                <w:szCs w:val="26"/>
              </w:rPr>
            </w:pPr>
          </w:p>
        </w:tc>
        <w:tc>
          <w:tcPr>
            <w:tcW w:w="358" w:type="dxa"/>
          </w:tcPr>
          <w:p w:rsidR="000251CB" w:rsidRPr="00A02016" w:rsidRDefault="000251CB" w:rsidP="00D41BBD">
            <w:pPr>
              <w:ind w:left="360" w:firstLine="708"/>
              <w:jc w:val="center"/>
              <w:rPr>
                <w:rFonts w:ascii="Arial" w:hAnsi="Arial" w:cs="Arial"/>
                <w:b/>
                <w:color w:val="4F81BD" w:themeColor="accent1"/>
                <w:szCs w:val="26"/>
              </w:rPr>
            </w:pPr>
          </w:p>
        </w:tc>
        <w:tc>
          <w:tcPr>
            <w:tcW w:w="5375" w:type="dxa"/>
          </w:tcPr>
          <w:p w:rsidR="000251CB" w:rsidRPr="00A02016" w:rsidRDefault="000251CB" w:rsidP="00D41BBD">
            <w:pPr>
              <w:jc w:val="center"/>
              <w:rPr>
                <w:rFonts w:ascii="Arial" w:hAnsi="Arial" w:cs="Arial"/>
                <w:b/>
                <w:color w:val="4F81BD" w:themeColor="accent1"/>
                <w:szCs w:val="26"/>
              </w:rPr>
            </w:pPr>
          </w:p>
        </w:tc>
      </w:tr>
    </w:tbl>
    <w:p w:rsidR="000251CB" w:rsidRPr="00A02016" w:rsidRDefault="000251CB" w:rsidP="000251CB">
      <w:pPr>
        <w:spacing w:after="240" w:line="240" w:lineRule="auto"/>
        <w:rPr>
          <w:rFonts w:ascii="Arial" w:hAnsi="Arial" w:cs="Arial"/>
          <w:color w:val="4F81BD" w:themeColor="accent1"/>
          <w:sz w:val="16"/>
          <w:szCs w:val="16"/>
        </w:rPr>
      </w:pPr>
      <w:r w:rsidRPr="00A02016">
        <w:rPr>
          <w:rFonts w:ascii="Arial" w:hAnsi="Arial" w:cs="Arial"/>
          <w:color w:val="4F81BD" w:themeColor="accent1"/>
          <w:sz w:val="18"/>
        </w:rPr>
        <w:tab/>
      </w:r>
      <w:r w:rsidRPr="00A02016">
        <w:rPr>
          <w:rFonts w:ascii="Arial" w:hAnsi="Arial" w:cs="Arial"/>
          <w:color w:val="4F81BD" w:themeColor="accent1"/>
          <w:sz w:val="16"/>
          <w:szCs w:val="16"/>
        </w:rPr>
        <w:t>Estas firmas pertenecen a la última foja de la resolución pronunciada en el recurso de revisión</w:t>
      </w:r>
      <w:r w:rsidR="00A02016" w:rsidRPr="00A02016">
        <w:rPr>
          <w:rFonts w:ascii="Arial" w:hAnsi="Arial" w:cs="Arial"/>
          <w:color w:val="4F81BD" w:themeColor="accent1"/>
          <w:sz w:val="16"/>
          <w:szCs w:val="16"/>
        </w:rPr>
        <w:t xml:space="preserve"> </w:t>
      </w:r>
      <w:r w:rsidRPr="00A02016">
        <w:rPr>
          <w:rFonts w:ascii="Arial" w:hAnsi="Arial" w:cs="Arial"/>
          <w:color w:val="4F81BD" w:themeColor="accent1"/>
          <w:sz w:val="16"/>
          <w:szCs w:val="16"/>
        </w:rPr>
        <w:t>009/2018-3 aprobada en sesión extraordinaria del catorce</w:t>
      </w:r>
      <w:r w:rsidR="00A02016" w:rsidRPr="00A02016">
        <w:rPr>
          <w:rFonts w:ascii="Arial" w:hAnsi="Arial" w:cs="Arial"/>
          <w:color w:val="4F81BD" w:themeColor="accent1"/>
          <w:sz w:val="16"/>
          <w:szCs w:val="16"/>
        </w:rPr>
        <w:t xml:space="preserve"> de febrero</w:t>
      </w:r>
      <w:r w:rsidRPr="00A02016">
        <w:rPr>
          <w:rFonts w:ascii="Arial" w:hAnsi="Arial" w:cs="Arial"/>
          <w:color w:val="4F81BD" w:themeColor="accent1"/>
          <w:sz w:val="16"/>
          <w:szCs w:val="16"/>
        </w:rPr>
        <w:t xml:space="preserve"> de dos mil dieciocho.</w:t>
      </w:r>
    </w:p>
    <w:p w:rsidR="000251CB" w:rsidRPr="00A02016" w:rsidRDefault="000251CB" w:rsidP="000251CB">
      <w:pPr>
        <w:spacing w:after="240" w:line="240" w:lineRule="auto"/>
        <w:rPr>
          <w:rFonts w:ascii="Arial" w:hAnsi="Arial" w:cs="Arial"/>
          <w:color w:val="4F81BD" w:themeColor="accent1"/>
          <w:sz w:val="16"/>
          <w:szCs w:val="16"/>
        </w:rPr>
      </w:pPr>
      <w:r w:rsidRPr="00A02016">
        <w:rPr>
          <w:rFonts w:ascii="Arial" w:hAnsi="Arial" w:cs="Arial"/>
          <w:color w:val="4F81BD" w:themeColor="accent1"/>
          <w:sz w:val="16"/>
          <w:szCs w:val="16"/>
        </w:rPr>
        <w:t xml:space="preserve">Elaboró y Cotejó: </w:t>
      </w:r>
    </w:p>
    <w:p w:rsidR="00A02016" w:rsidRPr="00A02016" w:rsidRDefault="000251CB" w:rsidP="000251CB">
      <w:pPr>
        <w:spacing w:after="240" w:line="240" w:lineRule="auto"/>
        <w:rPr>
          <w:rFonts w:ascii="Arial" w:hAnsi="Arial" w:cs="Arial"/>
          <w:color w:val="4F81BD" w:themeColor="accent1"/>
          <w:sz w:val="16"/>
          <w:szCs w:val="16"/>
        </w:rPr>
      </w:pPr>
      <w:r w:rsidRPr="00A02016">
        <w:rPr>
          <w:rFonts w:ascii="Arial" w:hAnsi="Arial" w:cs="Arial"/>
          <w:color w:val="4F81BD" w:themeColor="accent1"/>
          <w:sz w:val="16"/>
          <w:szCs w:val="16"/>
        </w:rPr>
        <w:t>ABCR</w:t>
      </w:r>
    </w:p>
    <w:p w:rsidR="00A02016" w:rsidRPr="00A02016" w:rsidRDefault="00A02016">
      <w:pPr>
        <w:spacing w:after="200" w:line="276" w:lineRule="auto"/>
        <w:jc w:val="left"/>
        <w:rPr>
          <w:rFonts w:ascii="Arial" w:hAnsi="Arial" w:cs="Arial"/>
          <w:color w:val="4F81BD" w:themeColor="accent1"/>
          <w:sz w:val="16"/>
          <w:szCs w:val="16"/>
        </w:rPr>
      </w:pPr>
      <w:r w:rsidRPr="00A02016">
        <w:rPr>
          <w:rFonts w:ascii="Arial" w:hAnsi="Arial" w:cs="Arial"/>
          <w:color w:val="4F81BD" w:themeColor="accent1"/>
          <w:sz w:val="16"/>
          <w:szCs w:val="16"/>
        </w:rPr>
        <w:br w:type="page"/>
      </w:r>
    </w:p>
    <w:p w:rsidR="00441D9F" w:rsidRPr="00A02016" w:rsidRDefault="00441D9F" w:rsidP="000251CB">
      <w:pPr>
        <w:spacing w:after="240" w:line="240" w:lineRule="auto"/>
        <w:rPr>
          <w:rFonts w:ascii="Arial" w:hAnsi="Arial" w:cs="Arial"/>
          <w:color w:val="4F81BD" w:themeColor="accent1"/>
          <w:sz w:val="16"/>
          <w:szCs w:val="16"/>
        </w:rPr>
      </w:pPr>
    </w:p>
    <w:p w:rsidR="004C50E3" w:rsidRPr="00A02016" w:rsidRDefault="004C50E3" w:rsidP="00CB3FC4">
      <w:pPr>
        <w:spacing w:after="200" w:line="276" w:lineRule="auto"/>
        <w:jc w:val="left"/>
        <w:rPr>
          <w:rFonts w:ascii="Arial" w:hAnsi="Arial" w:cs="Arial"/>
          <w:color w:val="4F81BD" w:themeColor="accent1"/>
          <w:sz w:val="16"/>
          <w:szCs w:val="16"/>
        </w:rPr>
      </w:pPr>
    </w:p>
    <w:sectPr w:rsidR="004C50E3" w:rsidRPr="00A02016" w:rsidSect="00EE69A4">
      <w:headerReference w:type="even" r:id="rId9"/>
      <w:headerReference w:type="default" r:id="rId10"/>
      <w:headerReference w:type="first" r:id="rId11"/>
      <w:pgSz w:w="12240" w:h="20160" w:code="5"/>
      <w:pgMar w:top="3062" w:right="851" w:bottom="2495" w:left="283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0179" w:rsidRDefault="00FC0179" w:rsidP="00EE69A4">
      <w:pPr>
        <w:spacing w:line="240" w:lineRule="auto"/>
      </w:pPr>
      <w:r>
        <w:separator/>
      </w:r>
    </w:p>
  </w:endnote>
  <w:endnote w:type="continuationSeparator" w:id="0">
    <w:p w:rsidR="00FC0179" w:rsidRDefault="00FC0179" w:rsidP="00EE69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0179" w:rsidRDefault="00FC0179" w:rsidP="00EE69A4">
      <w:pPr>
        <w:spacing w:line="240" w:lineRule="auto"/>
      </w:pPr>
      <w:r>
        <w:separator/>
      </w:r>
    </w:p>
  </w:footnote>
  <w:footnote w:type="continuationSeparator" w:id="0">
    <w:p w:rsidR="00FC0179" w:rsidRDefault="00FC0179" w:rsidP="00EE69A4">
      <w:pPr>
        <w:spacing w:line="240" w:lineRule="auto"/>
      </w:pPr>
      <w:r>
        <w:continuationSeparator/>
      </w:r>
    </w:p>
  </w:footnote>
  <w:footnote w:id="1">
    <w:p w:rsidR="000251CB" w:rsidRDefault="000251CB" w:rsidP="000251CB">
      <w:pPr>
        <w:pStyle w:val="Textonotapie"/>
        <w:rPr>
          <w:rFonts w:ascii="Arial" w:hAnsi="Arial" w:cs="Arial"/>
        </w:rPr>
      </w:pPr>
      <w:r w:rsidRPr="00C350A6">
        <w:rPr>
          <w:rStyle w:val="Refdenotaalpie"/>
          <w:rFonts w:ascii="Arial" w:hAnsi="Arial" w:cs="Arial"/>
        </w:rPr>
        <w:footnoteRef/>
      </w:r>
      <w:r w:rsidRPr="00C350A6">
        <w:rPr>
          <w:rFonts w:ascii="Arial" w:hAnsi="Arial" w:cs="Arial"/>
        </w:rPr>
        <w:t xml:space="preserve"> Tercer Tribunal Colegiado del Segundo Circuito. Semanario Judicial de </w:t>
      </w:r>
      <w:smartTag w:uri="urn:schemas-microsoft-com:office:smarttags" w:element="PersonName">
        <w:smartTagPr>
          <w:attr w:name="ProductID" w:val="la Federaci￳n"/>
        </w:smartTagPr>
        <w:r w:rsidRPr="00C350A6">
          <w:rPr>
            <w:rFonts w:ascii="Arial" w:hAnsi="Arial" w:cs="Arial"/>
          </w:rPr>
          <w:t>la Federación</w:t>
        </w:r>
      </w:smartTag>
      <w:r w:rsidRPr="00C350A6">
        <w:rPr>
          <w:rFonts w:ascii="Arial" w:hAnsi="Arial" w:cs="Arial"/>
        </w:rPr>
        <w:t xml:space="preserve"> que comprende los años de </w:t>
      </w:r>
      <w:smartTag w:uri="urn:schemas-microsoft-com:office:smarttags" w:element="metricconverter">
        <w:smartTagPr>
          <w:attr w:name="ProductID" w:val="1917 a"/>
        </w:smartTagPr>
        <w:r w:rsidRPr="00C350A6">
          <w:rPr>
            <w:rFonts w:ascii="Arial" w:hAnsi="Arial" w:cs="Arial"/>
          </w:rPr>
          <w:t>1917 a</w:t>
        </w:r>
      </w:smartTag>
      <w:r w:rsidRPr="00C350A6">
        <w:rPr>
          <w:rFonts w:ascii="Arial" w:hAnsi="Arial" w:cs="Arial"/>
        </w:rPr>
        <w:t xml:space="preserve"> 1995, tomo VI, materia común, página 708.</w:t>
      </w:r>
    </w:p>
    <w:p w:rsidR="000251CB" w:rsidRPr="00C350A6" w:rsidRDefault="000251CB" w:rsidP="000251CB">
      <w:pPr>
        <w:pStyle w:val="Textonotapie"/>
        <w:rPr>
          <w:rFonts w:ascii="Arial" w:hAnsi="Arial" w:cs="Arial"/>
          <w:lang w:val="es-MX"/>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669881"/>
      <w:docPartObj>
        <w:docPartGallery w:val="Page Numbers (Top of Page)"/>
        <w:docPartUnique/>
      </w:docPartObj>
    </w:sdtPr>
    <w:sdtEndPr/>
    <w:sdtContent>
      <w:p w:rsidR="0010145A" w:rsidRDefault="0010145A">
        <w:pPr>
          <w:pStyle w:val="Encabezado"/>
          <w:jc w:val="center"/>
        </w:pPr>
        <w:r>
          <w:fldChar w:fldCharType="begin"/>
        </w:r>
        <w:r>
          <w:instrText xml:space="preserve"> PAGE   \* MERGEFORMAT </w:instrText>
        </w:r>
        <w:r>
          <w:fldChar w:fldCharType="separate"/>
        </w:r>
        <w:r>
          <w:rPr>
            <w:noProof/>
          </w:rPr>
          <w:t>2</w:t>
        </w:r>
        <w:r>
          <w:rPr>
            <w:noProof/>
          </w:rPr>
          <w:fldChar w:fldCharType="end"/>
        </w:r>
      </w:p>
    </w:sdtContent>
  </w:sdt>
  <w:p w:rsidR="0010145A" w:rsidRDefault="0010145A">
    <w:pPr>
      <w:pStyle w:val="Encabezado"/>
    </w:pPr>
    <w:r>
      <w:t>CEGAIP-RR-018/2016-3</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669903"/>
      <w:docPartObj>
        <w:docPartGallery w:val="Page Numbers (Top of Page)"/>
        <w:docPartUnique/>
      </w:docPartObj>
    </w:sdtPr>
    <w:sdtEndPr/>
    <w:sdtContent>
      <w:p w:rsidR="0010145A" w:rsidRDefault="0010145A">
        <w:pPr>
          <w:pStyle w:val="Encabezado"/>
          <w:jc w:val="center"/>
        </w:pPr>
        <w:r>
          <w:fldChar w:fldCharType="begin"/>
        </w:r>
        <w:r>
          <w:instrText xml:space="preserve"> PAGE   \* MERGEFORMAT </w:instrText>
        </w:r>
        <w:r>
          <w:fldChar w:fldCharType="separate"/>
        </w:r>
        <w:r w:rsidR="00A02016">
          <w:rPr>
            <w:noProof/>
          </w:rPr>
          <w:t>12</w:t>
        </w:r>
        <w:r>
          <w:rPr>
            <w:noProof/>
          </w:rPr>
          <w:fldChar w:fldCharType="end"/>
        </w:r>
      </w:p>
    </w:sdtContent>
  </w:sdt>
  <w:p w:rsidR="0010145A" w:rsidRPr="00EE69A4" w:rsidRDefault="0010145A">
    <w:pPr>
      <w:pStyle w:val="Encabezado"/>
      <w:rPr>
        <w:lang w:val="es-MX"/>
      </w:rPr>
    </w:pPr>
    <w:r>
      <w:rPr>
        <w:lang w:val="es-MX"/>
      </w:rPr>
      <w:t>CEGAIP-RR-009/2018-3</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45A" w:rsidRDefault="0010145A">
    <w:pPr>
      <w:pStyle w:val="Encabezado"/>
      <w:jc w:val="center"/>
    </w:pPr>
  </w:p>
  <w:p w:rsidR="0010145A" w:rsidRDefault="0010145A">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94D62"/>
    <w:multiLevelType w:val="hybridMultilevel"/>
    <w:tmpl w:val="E196DE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20E7028"/>
    <w:multiLevelType w:val="hybridMultilevel"/>
    <w:tmpl w:val="0EF88380"/>
    <w:lvl w:ilvl="0" w:tplc="080A0011">
      <w:start w:val="1"/>
      <w:numFmt w:val="decimal"/>
      <w:lvlText w:val="%1)"/>
      <w:lvlJc w:val="left"/>
      <w:pPr>
        <w:ind w:left="1620" w:hanging="360"/>
      </w:pPr>
    </w:lvl>
    <w:lvl w:ilvl="1" w:tplc="080A0019" w:tentative="1">
      <w:start w:val="1"/>
      <w:numFmt w:val="lowerLetter"/>
      <w:lvlText w:val="%2."/>
      <w:lvlJc w:val="left"/>
      <w:pPr>
        <w:ind w:left="2340" w:hanging="360"/>
      </w:pPr>
    </w:lvl>
    <w:lvl w:ilvl="2" w:tplc="080A001B" w:tentative="1">
      <w:start w:val="1"/>
      <w:numFmt w:val="lowerRoman"/>
      <w:lvlText w:val="%3."/>
      <w:lvlJc w:val="right"/>
      <w:pPr>
        <w:ind w:left="3060" w:hanging="180"/>
      </w:pPr>
    </w:lvl>
    <w:lvl w:ilvl="3" w:tplc="080A000F" w:tentative="1">
      <w:start w:val="1"/>
      <w:numFmt w:val="decimal"/>
      <w:lvlText w:val="%4."/>
      <w:lvlJc w:val="left"/>
      <w:pPr>
        <w:ind w:left="3780" w:hanging="360"/>
      </w:pPr>
    </w:lvl>
    <w:lvl w:ilvl="4" w:tplc="080A0019" w:tentative="1">
      <w:start w:val="1"/>
      <w:numFmt w:val="lowerLetter"/>
      <w:lvlText w:val="%5."/>
      <w:lvlJc w:val="left"/>
      <w:pPr>
        <w:ind w:left="4500" w:hanging="360"/>
      </w:pPr>
    </w:lvl>
    <w:lvl w:ilvl="5" w:tplc="080A001B" w:tentative="1">
      <w:start w:val="1"/>
      <w:numFmt w:val="lowerRoman"/>
      <w:lvlText w:val="%6."/>
      <w:lvlJc w:val="right"/>
      <w:pPr>
        <w:ind w:left="5220" w:hanging="180"/>
      </w:pPr>
    </w:lvl>
    <w:lvl w:ilvl="6" w:tplc="080A000F" w:tentative="1">
      <w:start w:val="1"/>
      <w:numFmt w:val="decimal"/>
      <w:lvlText w:val="%7."/>
      <w:lvlJc w:val="left"/>
      <w:pPr>
        <w:ind w:left="5940" w:hanging="360"/>
      </w:pPr>
    </w:lvl>
    <w:lvl w:ilvl="7" w:tplc="080A0019" w:tentative="1">
      <w:start w:val="1"/>
      <w:numFmt w:val="lowerLetter"/>
      <w:lvlText w:val="%8."/>
      <w:lvlJc w:val="left"/>
      <w:pPr>
        <w:ind w:left="6660" w:hanging="360"/>
      </w:pPr>
    </w:lvl>
    <w:lvl w:ilvl="8" w:tplc="080A001B" w:tentative="1">
      <w:start w:val="1"/>
      <w:numFmt w:val="lowerRoman"/>
      <w:lvlText w:val="%9."/>
      <w:lvlJc w:val="right"/>
      <w:pPr>
        <w:ind w:left="7380" w:hanging="180"/>
      </w:pPr>
    </w:lvl>
  </w:abstractNum>
  <w:abstractNum w:abstractNumId="2" w15:restartNumberingAfterBreak="0">
    <w:nsid w:val="059302D5"/>
    <w:multiLevelType w:val="hybridMultilevel"/>
    <w:tmpl w:val="A198DAD0"/>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3" w15:restartNumberingAfterBreak="0">
    <w:nsid w:val="0FB95E26"/>
    <w:multiLevelType w:val="hybridMultilevel"/>
    <w:tmpl w:val="4E544E9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15:restartNumberingAfterBreak="0">
    <w:nsid w:val="12601208"/>
    <w:multiLevelType w:val="hybridMultilevel"/>
    <w:tmpl w:val="F0E4E718"/>
    <w:lvl w:ilvl="0" w:tplc="F5AC49BA">
      <w:start w:val="1"/>
      <w:numFmt w:val="upperRoman"/>
      <w:lvlText w:val="%1."/>
      <w:lvlJc w:val="left"/>
      <w:pPr>
        <w:ind w:left="2340" w:hanging="720"/>
      </w:pPr>
      <w:rPr>
        <w:rFonts w:hint="default"/>
      </w:rPr>
    </w:lvl>
    <w:lvl w:ilvl="1" w:tplc="080A0019" w:tentative="1">
      <w:start w:val="1"/>
      <w:numFmt w:val="lowerLetter"/>
      <w:lvlText w:val="%2."/>
      <w:lvlJc w:val="left"/>
      <w:pPr>
        <w:ind w:left="2700" w:hanging="360"/>
      </w:pPr>
    </w:lvl>
    <w:lvl w:ilvl="2" w:tplc="080A001B" w:tentative="1">
      <w:start w:val="1"/>
      <w:numFmt w:val="lowerRoman"/>
      <w:lvlText w:val="%3."/>
      <w:lvlJc w:val="right"/>
      <w:pPr>
        <w:ind w:left="3420" w:hanging="180"/>
      </w:pPr>
    </w:lvl>
    <w:lvl w:ilvl="3" w:tplc="080A000F" w:tentative="1">
      <w:start w:val="1"/>
      <w:numFmt w:val="decimal"/>
      <w:lvlText w:val="%4."/>
      <w:lvlJc w:val="left"/>
      <w:pPr>
        <w:ind w:left="4140" w:hanging="360"/>
      </w:pPr>
    </w:lvl>
    <w:lvl w:ilvl="4" w:tplc="080A0019" w:tentative="1">
      <w:start w:val="1"/>
      <w:numFmt w:val="lowerLetter"/>
      <w:lvlText w:val="%5."/>
      <w:lvlJc w:val="left"/>
      <w:pPr>
        <w:ind w:left="4860" w:hanging="360"/>
      </w:pPr>
    </w:lvl>
    <w:lvl w:ilvl="5" w:tplc="080A001B" w:tentative="1">
      <w:start w:val="1"/>
      <w:numFmt w:val="lowerRoman"/>
      <w:lvlText w:val="%6."/>
      <w:lvlJc w:val="right"/>
      <w:pPr>
        <w:ind w:left="5580" w:hanging="180"/>
      </w:pPr>
    </w:lvl>
    <w:lvl w:ilvl="6" w:tplc="080A000F" w:tentative="1">
      <w:start w:val="1"/>
      <w:numFmt w:val="decimal"/>
      <w:lvlText w:val="%7."/>
      <w:lvlJc w:val="left"/>
      <w:pPr>
        <w:ind w:left="6300" w:hanging="360"/>
      </w:pPr>
    </w:lvl>
    <w:lvl w:ilvl="7" w:tplc="080A0019" w:tentative="1">
      <w:start w:val="1"/>
      <w:numFmt w:val="lowerLetter"/>
      <w:lvlText w:val="%8."/>
      <w:lvlJc w:val="left"/>
      <w:pPr>
        <w:ind w:left="7020" w:hanging="360"/>
      </w:pPr>
    </w:lvl>
    <w:lvl w:ilvl="8" w:tplc="080A001B" w:tentative="1">
      <w:start w:val="1"/>
      <w:numFmt w:val="lowerRoman"/>
      <w:lvlText w:val="%9."/>
      <w:lvlJc w:val="right"/>
      <w:pPr>
        <w:ind w:left="7740" w:hanging="180"/>
      </w:pPr>
    </w:lvl>
  </w:abstractNum>
  <w:abstractNum w:abstractNumId="5" w15:restartNumberingAfterBreak="0">
    <w:nsid w:val="12A61C8D"/>
    <w:multiLevelType w:val="hybridMultilevel"/>
    <w:tmpl w:val="94865F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B926684"/>
    <w:multiLevelType w:val="hybridMultilevel"/>
    <w:tmpl w:val="2A0A0D2A"/>
    <w:lvl w:ilvl="0" w:tplc="080A0003">
      <w:start w:val="1"/>
      <w:numFmt w:val="bullet"/>
      <w:lvlText w:val="o"/>
      <w:lvlJc w:val="left"/>
      <w:pPr>
        <w:ind w:left="1287" w:hanging="360"/>
      </w:pPr>
      <w:rPr>
        <w:rFonts w:ascii="Courier New" w:hAnsi="Courier New" w:cs="Courier New"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7" w15:restartNumberingAfterBreak="0">
    <w:nsid w:val="26873031"/>
    <w:multiLevelType w:val="hybridMultilevel"/>
    <w:tmpl w:val="523AF520"/>
    <w:lvl w:ilvl="0" w:tplc="8CAE5BD4">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15:restartNumberingAfterBreak="0">
    <w:nsid w:val="2AB92AEF"/>
    <w:multiLevelType w:val="hybridMultilevel"/>
    <w:tmpl w:val="E57EA538"/>
    <w:lvl w:ilvl="0" w:tplc="5970B1A8">
      <w:start w:val="1"/>
      <w:numFmt w:val="decimal"/>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9" w15:restartNumberingAfterBreak="0">
    <w:nsid w:val="2FA059B5"/>
    <w:multiLevelType w:val="hybridMultilevel"/>
    <w:tmpl w:val="948A071E"/>
    <w:lvl w:ilvl="0" w:tplc="080A000F">
      <w:start w:val="1"/>
      <w:numFmt w:val="decimal"/>
      <w:lvlText w:val="%1."/>
      <w:lvlJc w:val="left"/>
      <w:pPr>
        <w:ind w:left="1693" w:hanging="360"/>
      </w:pPr>
    </w:lvl>
    <w:lvl w:ilvl="1" w:tplc="080A0019" w:tentative="1">
      <w:start w:val="1"/>
      <w:numFmt w:val="lowerLetter"/>
      <w:lvlText w:val="%2."/>
      <w:lvlJc w:val="left"/>
      <w:pPr>
        <w:ind w:left="2413" w:hanging="360"/>
      </w:pPr>
    </w:lvl>
    <w:lvl w:ilvl="2" w:tplc="080A001B" w:tentative="1">
      <w:start w:val="1"/>
      <w:numFmt w:val="lowerRoman"/>
      <w:lvlText w:val="%3."/>
      <w:lvlJc w:val="right"/>
      <w:pPr>
        <w:ind w:left="3133" w:hanging="180"/>
      </w:pPr>
    </w:lvl>
    <w:lvl w:ilvl="3" w:tplc="080A000F" w:tentative="1">
      <w:start w:val="1"/>
      <w:numFmt w:val="decimal"/>
      <w:lvlText w:val="%4."/>
      <w:lvlJc w:val="left"/>
      <w:pPr>
        <w:ind w:left="3853" w:hanging="360"/>
      </w:pPr>
    </w:lvl>
    <w:lvl w:ilvl="4" w:tplc="080A0019" w:tentative="1">
      <w:start w:val="1"/>
      <w:numFmt w:val="lowerLetter"/>
      <w:lvlText w:val="%5."/>
      <w:lvlJc w:val="left"/>
      <w:pPr>
        <w:ind w:left="4573" w:hanging="360"/>
      </w:pPr>
    </w:lvl>
    <w:lvl w:ilvl="5" w:tplc="080A001B" w:tentative="1">
      <w:start w:val="1"/>
      <w:numFmt w:val="lowerRoman"/>
      <w:lvlText w:val="%6."/>
      <w:lvlJc w:val="right"/>
      <w:pPr>
        <w:ind w:left="5293" w:hanging="180"/>
      </w:pPr>
    </w:lvl>
    <w:lvl w:ilvl="6" w:tplc="080A000F" w:tentative="1">
      <w:start w:val="1"/>
      <w:numFmt w:val="decimal"/>
      <w:lvlText w:val="%7."/>
      <w:lvlJc w:val="left"/>
      <w:pPr>
        <w:ind w:left="6013" w:hanging="360"/>
      </w:pPr>
    </w:lvl>
    <w:lvl w:ilvl="7" w:tplc="080A0019" w:tentative="1">
      <w:start w:val="1"/>
      <w:numFmt w:val="lowerLetter"/>
      <w:lvlText w:val="%8."/>
      <w:lvlJc w:val="left"/>
      <w:pPr>
        <w:ind w:left="6733" w:hanging="360"/>
      </w:pPr>
    </w:lvl>
    <w:lvl w:ilvl="8" w:tplc="080A001B" w:tentative="1">
      <w:start w:val="1"/>
      <w:numFmt w:val="lowerRoman"/>
      <w:lvlText w:val="%9."/>
      <w:lvlJc w:val="right"/>
      <w:pPr>
        <w:ind w:left="7453" w:hanging="180"/>
      </w:pPr>
    </w:lvl>
  </w:abstractNum>
  <w:abstractNum w:abstractNumId="10" w15:restartNumberingAfterBreak="0">
    <w:nsid w:val="3A2C6637"/>
    <w:multiLevelType w:val="hybridMultilevel"/>
    <w:tmpl w:val="0EF88380"/>
    <w:lvl w:ilvl="0" w:tplc="080A0011">
      <w:start w:val="1"/>
      <w:numFmt w:val="decimal"/>
      <w:lvlText w:val="%1)"/>
      <w:lvlJc w:val="left"/>
      <w:pPr>
        <w:ind w:left="1620" w:hanging="360"/>
      </w:pPr>
    </w:lvl>
    <w:lvl w:ilvl="1" w:tplc="080A0019" w:tentative="1">
      <w:start w:val="1"/>
      <w:numFmt w:val="lowerLetter"/>
      <w:lvlText w:val="%2."/>
      <w:lvlJc w:val="left"/>
      <w:pPr>
        <w:ind w:left="2340" w:hanging="360"/>
      </w:pPr>
    </w:lvl>
    <w:lvl w:ilvl="2" w:tplc="080A001B" w:tentative="1">
      <w:start w:val="1"/>
      <w:numFmt w:val="lowerRoman"/>
      <w:lvlText w:val="%3."/>
      <w:lvlJc w:val="right"/>
      <w:pPr>
        <w:ind w:left="3060" w:hanging="180"/>
      </w:pPr>
    </w:lvl>
    <w:lvl w:ilvl="3" w:tplc="080A000F" w:tentative="1">
      <w:start w:val="1"/>
      <w:numFmt w:val="decimal"/>
      <w:lvlText w:val="%4."/>
      <w:lvlJc w:val="left"/>
      <w:pPr>
        <w:ind w:left="3780" w:hanging="360"/>
      </w:pPr>
    </w:lvl>
    <w:lvl w:ilvl="4" w:tplc="080A0019" w:tentative="1">
      <w:start w:val="1"/>
      <w:numFmt w:val="lowerLetter"/>
      <w:lvlText w:val="%5."/>
      <w:lvlJc w:val="left"/>
      <w:pPr>
        <w:ind w:left="4500" w:hanging="360"/>
      </w:pPr>
    </w:lvl>
    <w:lvl w:ilvl="5" w:tplc="080A001B" w:tentative="1">
      <w:start w:val="1"/>
      <w:numFmt w:val="lowerRoman"/>
      <w:lvlText w:val="%6."/>
      <w:lvlJc w:val="right"/>
      <w:pPr>
        <w:ind w:left="5220" w:hanging="180"/>
      </w:pPr>
    </w:lvl>
    <w:lvl w:ilvl="6" w:tplc="080A000F" w:tentative="1">
      <w:start w:val="1"/>
      <w:numFmt w:val="decimal"/>
      <w:lvlText w:val="%7."/>
      <w:lvlJc w:val="left"/>
      <w:pPr>
        <w:ind w:left="5940" w:hanging="360"/>
      </w:pPr>
    </w:lvl>
    <w:lvl w:ilvl="7" w:tplc="080A0019" w:tentative="1">
      <w:start w:val="1"/>
      <w:numFmt w:val="lowerLetter"/>
      <w:lvlText w:val="%8."/>
      <w:lvlJc w:val="left"/>
      <w:pPr>
        <w:ind w:left="6660" w:hanging="360"/>
      </w:pPr>
    </w:lvl>
    <w:lvl w:ilvl="8" w:tplc="080A001B" w:tentative="1">
      <w:start w:val="1"/>
      <w:numFmt w:val="lowerRoman"/>
      <w:lvlText w:val="%9."/>
      <w:lvlJc w:val="right"/>
      <w:pPr>
        <w:ind w:left="7380" w:hanging="180"/>
      </w:pPr>
    </w:lvl>
  </w:abstractNum>
  <w:abstractNum w:abstractNumId="11" w15:restartNumberingAfterBreak="0">
    <w:nsid w:val="3B7F3FE2"/>
    <w:multiLevelType w:val="hybridMultilevel"/>
    <w:tmpl w:val="A7FC0084"/>
    <w:lvl w:ilvl="0" w:tplc="25BE3DBC">
      <w:start w:val="1"/>
      <w:numFmt w:val="upperRoman"/>
      <w:lvlText w:val="%1."/>
      <w:lvlJc w:val="left"/>
      <w:pPr>
        <w:ind w:left="1620" w:hanging="72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12" w15:restartNumberingAfterBreak="0">
    <w:nsid w:val="3C682739"/>
    <w:multiLevelType w:val="hybridMultilevel"/>
    <w:tmpl w:val="BD8088E4"/>
    <w:lvl w:ilvl="0" w:tplc="080A0001">
      <w:start w:val="1"/>
      <w:numFmt w:val="bullet"/>
      <w:lvlText w:val=""/>
      <w:lvlJc w:val="left"/>
      <w:pPr>
        <w:ind w:left="1548" w:hanging="360"/>
      </w:pPr>
      <w:rPr>
        <w:rFonts w:ascii="Symbol" w:hAnsi="Symbol" w:hint="default"/>
      </w:rPr>
    </w:lvl>
    <w:lvl w:ilvl="1" w:tplc="080A0003" w:tentative="1">
      <w:start w:val="1"/>
      <w:numFmt w:val="bullet"/>
      <w:lvlText w:val="o"/>
      <w:lvlJc w:val="left"/>
      <w:pPr>
        <w:ind w:left="2268" w:hanging="360"/>
      </w:pPr>
      <w:rPr>
        <w:rFonts w:ascii="Courier New" w:hAnsi="Courier New" w:cs="Courier New" w:hint="default"/>
      </w:rPr>
    </w:lvl>
    <w:lvl w:ilvl="2" w:tplc="080A0005" w:tentative="1">
      <w:start w:val="1"/>
      <w:numFmt w:val="bullet"/>
      <w:lvlText w:val=""/>
      <w:lvlJc w:val="left"/>
      <w:pPr>
        <w:ind w:left="2988" w:hanging="360"/>
      </w:pPr>
      <w:rPr>
        <w:rFonts w:ascii="Wingdings" w:hAnsi="Wingdings" w:hint="default"/>
      </w:rPr>
    </w:lvl>
    <w:lvl w:ilvl="3" w:tplc="080A0001" w:tentative="1">
      <w:start w:val="1"/>
      <w:numFmt w:val="bullet"/>
      <w:lvlText w:val=""/>
      <w:lvlJc w:val="left"/>
      <w:pPr>
        <w:ind w:left="3708" w:hanging="360"/>
      </w:pPr>
      <w:rPr>
        <w:rFonts w:ascii="Symbol" w:hAnsi="Symbol" w:hint="default"/>
      </w:rPr>
    </w:lvl>
    <w:lvl w:ilvl="4" w:tplc="080A0003" w:tentative="1">
      <w:start w:val="1"/>
      <w:numFmt w:val="bullet"/>
      <w:lvlText w:val="o"/>
      <w:lvlJc w:val="left"/>
      <w:pPr>
        <w:ind w:left="4428" w:hanging="360"/>
      </w:pPr>
      <w:rPr>
        <w:rFonts w:ascii="Courier New" w:hAnsi="Courier New" w:cs="Courier New" w:hint="default"/>
      </w:rPr>
    </w:lvl>
    <w:lvl w:ilvl="5" w:tplc="080A0005" w:tentative="1">
      <w:start w:val="1"/>
      <w:numFmt w:val="bullet"/>
      <w:lvlText w:val=""/>
      <w:lvlJc w:val="left"/>
      <w:pPr>
        <w:ind w:left="5148" w:hanging="360"/>
      </w:pPr>
      <w:rPr>
        <w:rFonts w:ascii="Wingdings" w:hAnsi="Wingdings" w:hint="default"/>
      </w:rPr>
    </w:lvl>
    <w:lvl w:ilvl="6" w:tplc="080A0001" w:tentative="1">
      <w:start w:val="1"/>
      <w:numFmt w:val="bullet"/>
      <w:lvlText w:val=""/>
      <w:lvlJc w:val="left"/>
      <w:pPr>
        <w:ind w:left="5868" w:hanging="360"/>
      </w:pPr>
      <w:rPr>
        <w:rFonts w:ascii="Symbol" w:hAnsi="Symbol" w:hint="default"/>
      </w:rPr>
    </w:lvl>
    <w:lvl w:ilvl="7" w:tplc="080A0003" w:tentative="1">
      <w:start w:val="1"/>
      <w:numFmt w:val="bullet"/>
      <w:lvlText w:val="o"/>
      <w:lvlJc w:val="left"/>
      <w:pPr>
        <w:ind w:left="6588" w:hanging="360"/>
      </w:pPr>
      <w:rPr>
        <w:rFonts w:ascii="Courier New" w:hAnsi="Courier New" w:cs="Courier New" w:hint="default"/>
      </w:rPr>
    </w:lvl>
    <w:lvl w:ilvl="8" w:tplc="080A0005" w:tentative="1">
      <w:start w:val="1"/>
      <w:numFmt w:val="bullet"/>
      <w:lvlText w:val=""/>
      <w:lvlJc w:val="left"/>
      <w:pPr>
        <w:ind w:left="7308" w:hanging="360"/>
      </w:pPr>
      <w:rPr>
        <w:rFonts w:ascii="Wingdings" w:hAnsi="Wingdings" w:hint="default"/>
      </w:rPr>
    </w:lvl>
  </w:abstractNum>
  <w:abstractNum w:abstractNumId="13" w15:restartNumberingAfterBreak="0">
    <w:nsid w:val="3FED1AF9"/>
    <w:multiLevelType w:val="hybridMultilevel"/>
    <w:tmpl w:val="09C2A20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4" w15:restartNumberingAfterBreak="0">
    <w:nsid w:val="45B16743"/>
    <w:multiLevelType w:val="hybridMultilevel"/>
    <w:tmpl w:val="737CC3B0"/>
    <w:lvl w:ilvl="0" w:tplc="CBEEFAFE">
      <w:start w:val="1"/>
      <w:numFmt w:val="decimal"/>
      <w:lvlText w:val="%1."/>
      <w:lvlJc w:val="left"/>
      <w:pPr>
        <w:tabs>
          <w:tab w:val="num" w:pos="720"/>
        </w:tabs>
        <w:ind w:left="720" w:hanging="360"/>
      </w:pPr>
    </w:lvl>
    <w:lvl w:ilvl="1" w:tplc="8AD453F6" w:tentative="1">
      <w:start w:val="1"/>
      <w:numFmt w:val="decimal"/>
      <w:lvlText w:val="%2."/>
      <w:lvlJc w:val="left"/>
      <w:pPr>
        <w:tabs>
          <w:tab w:val="num" w:pos="1440"/>
        </w:tabs>
        <w:ind w:left="1440" w:hanging="360"/>
      </w:pPr>
    </w:lvl>
    <w:lvl w:ilvl="2" w:tplc="947A7086" w:tentative="1">
      <w:start w:val="1"/>
      <w:numFmt w:val="decimal"/>
      <w:lvlText w:val="%3."/>
      <w:lvlJc w:val="left"/>
      <w:pPr>
        <w:tabs>
          <w:tab w:val="num" w:pos="2160"/>
        </w:tabs>
        <w:ind w:left="2160" w:hanging="360"/>
      </w:pPr>
    </w:lvl>
    <w:lvl w:ilvl="3" w:tplc="21CE55F4" w:tentative="1">
      <w:start w:val="1"/>
      <w:numFmt w:val="decimal"/>
      <w:lvlText w:val="%4."/>
      <w:lvlJc w:val="left"/>
      <w:pPr>
        <w:tabs>
          <w:tab w:val="num" w:pos="2880"/>
        </w:tabs>
        <w:ind w:left="2880" w:hanging="360"/>
      </w:pPr>
    </w:lvl>
    <w:lvl w:ilvl="4" w:tplc="D6A03E3C" w:tentative="1">
      <w:start w:val="1"/>
      <w:numFmt w:val="decimal"/>
      <w:lvlText w:val="%5."/>
      <w:lvlJc w:val="left"/>
      <w:pPr>
        <w:tabs>
          <w:tab w:val="num" w:pos="3600"/>
        </w:tabs>
        <w:ind w:left="3600" w:hanging="360"/>
      </w:pPr>
    </w:lvl>
    <w:lvl w:ilvl="5" w:tplc="F2AC402E" w:tentative="1">
      <w:start w:val="1"/>
      <w:numFmt w:val="decimal"/>
      <w:lvlText w:val="%6."/>
      <w:lvlJc w:val="left"/>
      <w:pPr>
        <w:tabs>
          <w:tab w:val="num" w:pos="4320"/>
        </w:tabs>
        <w:ind w:left="4320" w:hanging="360"/>
      </w:pPr>
    </w:lvl>
    <w:lvl w:ilvl="6" w:tplc="AA8C3E22" w:tentative="1">
      <w:start w:val="1"/>
      <w:numFmt w:val="decimal"/>
      <w:lvlText w:val="%7."/>
      <w:lvlJc w:val="left"/>
      <w:pPr>
        <w:tabs>
          <w:tab w:val="num" w:pos="5040"/>
        </w:tabs>
        <w:ind w:left="5040" w:hanging="360"/>
      </w:pPr>
    </w:lvl>
    <w:lvl w:ilvl="7" w:tplc="F42E0B50" w:tentative="1">
      <w:start w:val="1"/>
      <w:numFmt w:val="decimal"/>
      <w:lvlText w:val="%8."/>
      <w:lvlJc w:val="left"/>
      <w:pPr>
        <w:tabs>
          <w:tab w:val="num" w:pos="5760"/>
        </w:tabs>
        <w:ind w:left="5760" w:hanging="360"/>
      </w:pPr>
    </w:lvl>
    <w:lvl w:ilvl="8" w:tplc="4EEE54D4" w:tentative="1">
      <w:start w:val="1"/>
      <w:numFmt w:val="decimal"/>
      <w:lvlText w:val="%9."/>
      <w:lvlJc w:val="left"/>
      <w:pPr>
        <w:tabs>
          <w:tab w:val="num" w:pos="6480"/>
        </w:tabs>
        <w:ind w:left="6480" w:hanging="360"/>
      </w:pPr>
    </w:lvl>
  </w:abstractNum>
  <w:abstractNum w:abstractNumId="15" w15:restartNumberingAfterBreak="0">
    <w:nsid w:val="51E34768"/>
    <w:multiLevelType w:val="hybridMultilevel"/>
    <w:tmpl w:val="417EF5D2"/>
    <w:lvl w:ilvl="0" w:tplc="056661B8">
      <w:start w:val="1"/>
      <w:numFmt w:val="decimal"/>
      <w:lvlText w:val="%1."/>
      <w:lvlJc w:val="left"/>
      <w:pPr>
        <w:tabs>
          <w:tab w:val="num" w:pos="720"/>
        </w:tabs>
        <w:ind w:left="720" w:hanging="360"/>
      </w:pPr>
    </w:lvl>
    <w:lvl w:ilvl="1" w:tplc="5B1E1CF0" w:tentative="1">
      <w:start w:val="1"/>
      <w:numFmt w:val="decimal"/>
      <w:lvlText w:val="%2."/>
      <w:lvlJc w:val="left"/>
      <w:pPr>
        <w:tabs>
          <w:tab w:val="num" w:pos="1440"/>
        </w:tabs>
        <w:ind w:left="1440" w:hanging="360"/>
      </w:pPr>
    </w:lvl>
    <w:lvl w:ilvl="2" w:tplc="A80089C6" w:tentative="1">
      <w:start w:val="1"/>
      <w:numFmt w:val="decimal"/>
      <w:lvlText w:val="%3."/>
      <w:lvlJc w:val="left"/>
      <w:pPr>
        <w:tabs>
          <w:tab w:val="num" w:pos="2160"/>
        </w:tabs>
        <w:ind w:left="2160" w:hanging="360"/>
      </w:pPr>
    </w:lvl>
    <w:lvl w:ilvl="3" w:tplc="1AB28644" w:tentative="1">
      <w:start w:val="1"/>
      <w:numFmt w:val="decimal"/>
      <w:lvlText w:val="%4."/>
      <w:lvlJc w:val="left"/>
      <w:pPr>
        <w:tabs>
          <w:tab w:val="num" w:pos="2880"/>
        </w:tabs>
        <w:ind w:left="2880" w:hanging="360"/>
      </w:pPr>
    </w:lvl>
    <w:lvl w:ilvl="4" w:tplc="58FACEF4" w:tentative="1">
      <w:start w:val="1"/>
      <w:numFmt w:val="decimal"/>
      <w:lvlText w:val="%5."/>
      <w:lvlJc w:val="left"/>
      <w:pPr>
        <w:tabs>
          <w:tab w:val="num" w:pos="3600"/>
        </w:tabs>
        <w:ind w:left="3600" w:hanging="360"/>
      </w:pPr>
    </w:lvl>
    <w:lvl w:ilvl="5" w:tplc="F3968B9A" w:tentative="1">
      <w:start w:val="1"/>
      <w:numFmt w:val="decimal"/>
      <w:lvlText w:val="%6."/>
      <w:lvlJc w:val="left"/>
      <w:pPr>
        <w:tabs>
          <w:tab w:val="num" w:pos="4320"/>
        </w:tabs>
        <w:ind w:left="4320" w:hanging="360"/>
      </w:pPr>
    </w:lvl>
    <w:lvl w:ilvl="6" w:tplc="3218508A" w:tentative="1">
      <w:start w:val="1"/>
      <w:numFmt w:val="decimal"/>
      <w:lvlText w:val="%7."/>
      <w:lvlJc w:val="left"/>
      <w:pPr>
        <w:tabs>
          <w:tab w:val="num" w:pos="5040"/>
        </w:tabs>
        <w:ind w:left="5040" w:hanging="360"/>
      </w:pPr>
    </w:lvl>
    <w:lvl w:ilvl="7" w:tplc="39C6F2F0" w:tentative="1">
      <w:start w:val="1"/>
      <w:numFmt w:val="decimal"/>
      <w:lvlText w:val="%8."/>
      <w:lvlJc w:val="left"/>
      <w:pPr>
        <w:tabs>
          <w:tab w:val="num" w:pos="5760"/>
        </w:tabs>
        <w:ind w:left="5760" w:hanging="360"/>
      </w:pPr>
    </w:lvl>
    <w:lvl w:ilvl="8" w:tplc="7430EE6E" w:tentative="1">
      <w:start w:val="1"/>
      <w:numFmt w:val="decimal"/>
      <w:lvlText w:val="%9."/>
      <w:lvlJc w:val="left"/>
      <w:pPr>
        <w:tabs>
          <w:tab w:val="num" w:pos="6480"/>
        </w:tabs>
        <w:ind w:left="6480" w:hanging="360"/>
      </w:pPr>
    </w:lvl>
  </w:abstractNum>
  <w:abstractNum w:abstractNumId="16" w15:restartNumberingAfterBreak="0">
    <w:nsid w:val="5B0F0E31"/>
    <w:multiLevelType w:val="hybridMultilevel"/>
    <w:tmpl w:val="30B4C71C"/>
    <w:lvl w:ilvl="0" w:tplc="080A0017">
      <w:start w:val="1"/>
      <w:numFmt w:val="lowerLetter"/>
      <w:lvlText w:val="%1)"/>
      <w:lvlJc w:val="left"/>
      <w:pPr>
        <w:ind w:left="1620" w:hanging="360"/>
      </w:pPr>
    </w:lvl>
    <w:lvl w:ilvl="1" w:tplc="080A0019" w:tentative="1">
      <w:start w:val="1"/>
      <w:numFmt w:val="lowerLetter"/>
      <w:lvlText w:val="%2."/>
      <w:lvlJc w:val="left"/>
      <w:pPr>
        <w:ind w:left="2340" w:hanging="360"/>
      </w:pPr>
    </w:lvl>
    <w:lvl w:ilvl="2" w:tplc="080A001B" w:tentative="1">
      <w:start w:val="1"/>
      <w:numFmt w:val="lowerRoman"/>
      <w:lvlText w:val="%3."/>
      <w:lvlJc w:val="right"/>
      <w:pPr>
        <w:ind w:left="3060" w:hanging="180"/>
      </w:pPr>
    </w:lvl>
    <w:lvl w:ilvl="3" w:tplc="080A000F" w:tentative="1">
      <w:start w:val="1"/>
      <w:numFmt w:val="decimal"/>
      <w:lvlText w:val="%4."/>
      <w:lvlJc w:val="left"/>
      <w:pPr>
        <w:ind w:left="3780" w:hanging="360"/>
      </w:pPr>
    </w:lvl>
    <w:lvl w:ilvl="4" w:tplc="080A0019" w:tentative="1">
      <w:start w:val="1"/>
      <w:numFmt w:val="lowerLetter"/>
      <w:lvlText w:val="%5."/>
      <w:lvlJc w:val="left"/>
      <w:pPr>
        <w:ind w:left="4500" w:hanging="360"/>
      </w:pPr>
    </w:lvl>
    <w:lvl w:ilvl="5" w:tplc="080A001B" w:tentative="1">
      <w:start w:val="1"/>
      <w:numFmt w:val="lowerRoman"/>
      <w:lvlText w:val="%6."/>
      <w:lvlJc w:val="right"/>
      <w:pPr>
        <w:ind w:left="5220" w:hanging="180"/>
      </w:pPr>
    </w:lvl>
    <w:lvl w:ilvl="6" w:tplc="080A000F" w:tentative="1">
      <w:start w:val="1"/>
      <w:numFmt w:val="decimal"/>
      <w:lvlText w:val="%7."/>
      <w:lvlJc w:val="left"/>
      <w:pPr>
        <w:ind w:left="5940" w:hanging="360"/>
      </w:pPr>
    </w:lvl>
    <w:lvl w:ilvl="7" w:tplc="080A0019" w:tentative="1">
      <w:start w:val="1"/>
      <w:numFmt w:val="lowerLetter"/>
      <w:lvlText w:val="%8."/>
      <w:lvlJc w:val="left"/>
      <w:pPr>
        <w:ind w:left="6660" w:hanging="360"/>
      </w:pPr>
    </w:lvl>
    <w:lvl w:ilvl="8" w:tplc="080A001B" w:tentative="1">
      <w:start w:val="1"/>
      <w:numFmt w:val="lowerRoman"/>
      <w:lvlText w:val="%9."/>
      <w:lvlJc w:val="right"/>
      <w:pPr>
        <w:ind w:left="7380" w:hanging="180"/>
      </w:pPr>
    </w:lvl>
  </w:abstractNum>
  <w:abstractNum w:abstractNumId="17" w15:restartNumberingAfterBreak="0">
    <w:nsid w:val="67C371ED"/>
    <w:multiLevelType w:val="hybridMultilevel"/>
    <w:tmpl w:val="0FDA9CC6"/>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69507CDE"/>
    <w:multiLevelType w:val="hybridMultilevel"/>
    <w:tmpl w:val="32EAA78A"/>
    <w:lvl w:ilvl="0" w:tplc="080A0011">
      <w:start w:val="1"/>
      <w:numFmt w:val="decimal"/>
      <w:lvlText w:val="%1)"/>
      <w:lvlJc w:val="lef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9" w15:restartNumberingAfterBreak="0">
    <w:nsid w:val="76F726A6"/>
    <w:multiLevelType w:val="hybridMultilevel"/>
    <w:tmpl w:val="3E607B36"/>
    <w:lvl w:ilvl="0" w:tplc="BB60C60C">
      <w:start w:val="1"/>
      <w:numFmt w:val="decimal"/>
      <w:lvlText w:val="%1."/>
      <w:lvlJc w:val="left"/>
      <w:pPr>
        <w:ind w:left="140" w:hanging="360"/>
      </w:pPr>
      <w:rPr>
        <w:rFonts w:hint="default"/>
      </w:rPr>
    </w:lvl>
    <w:lvl w:ilvl="1" w:tplc="080A0019" w:tentative="1">
      <w:start w:val="1"/>
      <w:numFmt w:val="lowerLetter"/>
      <w:lvlText w:val="%2."/>
      <w:lvlJc w:val="left"/>
      <w:pPr>
        <w:ind w:left="860" w:hanging="360"/>
      </w:pPr>
    </w:lvl>
    <w:lvl w:ilvl="2" w:tplc="080A001B" w:tentative="1">
      <w:start w:val="1"/>
      <w:numFmt w:val="lowerRoman"/>
      <w:lvlText w:val="%3."/>
      <w:lvlJc w:val="right"/>
      <w:pPr>
        <w:ind w:left="1580" w:hanging="180"/>
      </w:pPr>
    </w:lvl>
    <w:lvl w:ilvl="3" w:tplc="080A000F" w:tentative="1">
      <w:start w:val="1"/>
      <w:numFmt w:val="decimal"/>
      <w:lvlText w:val="%4."/>
      <w:lvlJc w:val="left"/>
      <w:pPr>
        <w:ind w:left="2300" w:hanging="360"/>
      </w:pPr>
    </w:lvl>
    <w:lvl w:ilvl="4" w:tplc="080A0019" w:tentative="1">
      <w:start w:val="1"/>
      <w:numFmt w:val="lowerLetter"/>
      <w:lvlText w:val="%5."/>
      <w:lvlJc w:val="left"/>
      <w:pPr>
        <w:ind w:left="3020" w:hanging="360"/>
      </w:pPr>
    </w:lvl>
    <w:lvl w:ilvl="5" w:tplc="080A001B" w:tentative="1">
      <w:start w:val="1"/>
      <w:numFmt w:val="lowerRoman"/>
      <w:lvlText w:val="%6."/>
      <w:lvlJc w:val="right"/>
      <w:pPr>
        <w:ind w:left="3740" w:hanging="180"/>
      </w:pPr>
    </w:lvl>
    <w:lvl w:ilvl="6" w:tplc="080A000F" w:tentative="1">
      <w:start w:val="1"/>
      <w:numFmt w:val="decimal"/>
      <w:lvlText w:val="%7."/>
      <w:lvlJc w:val="left"/>
      <w:pPr>
        <w:ind w:left="4460" w:hanging="360"/>
      </w:pPr>
    </w:lvl>
    <w:lvl w:ilvl="7" w:tplc="080A0019" w:tentative="1">
      <w:start w:val="1"/>
      <w:numFmt w:val="lowerLetter"/>
      <w:lvlText w:val="%8."/>
      <w:lvlJc w:val="left"/>
      <w:pPr>
        <w:ind w:left="5180" w:hanging="360"/>
      </w:pPr>
    </w:lvl>
    <w:lvl w:ilvl="8" w:tplc="080A001B" w:tentative="1">
      <w:start w:val="1"/>
      <w:numFmt w:val="lowerRoman"/>
      <w:lvlText w:val="%9."/>
      <w:lvlJc w:val="right"/>
      <w:pPr>
        <w:ind w:left="5900" w:hanging="180"/>
      </w:pPr>
    </w:lvl>
  </w:abstractNum>
  <w:abstractNum w:abstractNumId="20" w15:restartNumberingAfterBreak="0">
    <w:nsid w:val="77541E75"/>
    <w:multiLevelType w:val="hybridMultilevel"/>
    <w:tmpl w:val="6596B5A2"/>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1" w15:restartNumberingAfterBreak="0">
    <w:nsid w:val="79771AB0"/>
    <w:multiLevelType w:val="hybridMultilevel"/>
    <w:tmpl w:val="FA0AE230"/>
    <w:lvl w:ilvl="0" w:tplc="FB70C396">
      <w:start w:val="1"/>
      <w:numFmt w:val="decimal"/>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2" w15:restartNumberingAfterBreak="0">
    <w:nsid w:val="7A9D1ED9"/>
    <w:multiLevelType w:val="hybridMultilevel"/>
    <w:tmpl w:val="38A478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4"/>
  </w:num>
  <w:num w:numId="4">
    <w:abstractNumId w:val="19"/>
  </w:num>
  <w:num w:numId="5">
    <w:abstractNumId w:val="5"/>
  </w:num>
  <w:num w:numId="6">
    <w:abstractNumId w:val="21"/>
  </w:num>
  <w:num w:numId="7">
    <w:abstractNumId w:val="13"/>
  </w:num>
  <w:num w:numId="8">
    <w:abstractNumId w:val="18"/>
  </w:num>
  <w:num w:numId="9">
    <w:abstractNumId w:val="15"/>
  </w:num>
  <w:num w:numId="10">
    <w:abstractNumId w:val="14"/>
  </w:num>
  <w:num w:numId="11">
    <w:abstractNumId w:val="2"/>
  </w:num>
  <w:num w:numId="12">
    <w:abstractNumId w:val="22"/>
  </w:num>
  <w:num w:numId="13">
    <w:abstractNumId w:val="9"/>
  </w:num>
  <w:num w:numId="14">
    <w:abstractNumId w:val="8"/>
  </w:num>
  <w:num w:numId="15">
    <w:abstractNumId w:val="17"/>
  </w:num>
  <w:num w:numId="16">
    <w:abstractNumId w:val="6"/>
  </w:num>
  <w:num w:numId="17">
    <w:abstractNumId w:val="20"/>
  </w:num>
  <w:num w:numId="18">
    <w:abstractNumId w:val="0"/>
  </w:num>
  <w:num w:numId="19">
    <w:abstractNumId w:val="16"/>
  </w:num>
  <w:num w:numId="20">
    <w:abstractNumId w:val="10"/>
  </w:num>
  <w:num w:numId="21">
    <w:abstractNumId w:val="12"/>
  </w:num>
  <w:num w:numId="22">
    <w:abstractNumId w:val="1"/>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drawingGridHorizontalSpacing w:val="13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547C44"/>
    <w:rsid w:val="00002191"/>
    <w:rsid w:val="000050A2"/>
    <w:rsid w:val="00012C6C"/>
    <w:rsid w:val="00014CF1"/>
    <w:rsid w:val="00016A4B"/>
    <w:rsid w:val="000177DD"/>
    <w:rsid w:val="000214B4"/>
    <w:rsid w:val="00021A3D"/>
    <w:rsid w:val="000251CB"/>
    <w:rsid w:val="00037F84"/>
    <w:rsid w:val="00041B81"/>
    <w:rsid w:val="000451BF"/>
    <w:rsid w:val="00046F41"/>
    <w:rsid w:val="000519A6"/>
    <w:rsid w:val="000526E6"/>
    <w:rsid w:val="000572DA"/>
    <w:rsid w:val="00062D73"/>
    <w:rsid w:val="0006450E"/>
    <w:rsid w:val="00082B44"/>
    <w:rsid w:val="0008378B"/>
    <w:rsid w:val="000925EF"/>
    <w:rsid w:val="00092EBF"/>
    <w:rsid w:val="00095AB3"/>
    <w:rsid w:val="000A283E"/>
    <w:rsid w:val="000A7189"/>
    <w:rsid w:val="000A7B80"/>
    <w:rsid w:val="000A7F2C"/>
    <w:rsid w:val="000B4079"/>
    <w:rsid w:val="000C78EE"/>
    <w:rsid w:val="000D3267"/>
    <w:rsid w:val="000F2F54"/>
    <w:rsid w:val="0010145A"/>
    <w:rsid w:val="00102DC5"/>
    <w:rsid w:val="00121404"/>
    <w:rsid w:val="00123FAF"/>
    <w:rsid w:val="00130C29"/>
    <w:rsid w:val="001522A2"/>
    <w:rsid w:val="00154824"/>
    <w:rsid w:val="00157B72"/>
    <w:rsid w:val="00160177"/>
    <w:rsid w:val="0016050B"/>
    <w:rsid w:val="00161C83"/>
    <w:rsid w:val="00163339"/>
    <w:rsid w:val="001656E9"/>
    <w:rsid w:val="00167041"/>
    <w:rsid w:val="0017104F"/>
    <w:rsid w:val="00172E02"/>
    <w:rsid w:val="001773E6"/>
    <w:rsid w:val="00177EEC"/>
    <w:rsid w:val="001820D2"/>
    <w:rsid w:val="00190533"/>
    <w:rsid w:val="001950DF"/>
    <w:rsid w:val="0019684C"/>
    <w:rsid w:val="001A3095"/>
    <w:rsid w:val="001A7205"/>
    <w:rsid w:val="001B0E21"/>
    <w:rsid w:val="001B74B0"/>
    <w:rsid w:val="001C0785"/>
    <w:rsid w:val="001C146D"/>
    <w:rsid w:val="001D23A4"/>
    <w:rsid w:val="001E0013"/>
    <w:rsid w:val="001F2529"/>
    <w:rsid w:val="001F4480"/>
    <w:rsid w:val="001F58D0"/>
    <w:rsid w:val="001F7A51"/>
    <w:rsid w:val="00211510"/>
    <w:rsid w:val="00214146"/>
    <w:rsid w:val="002205AD"/>
    <w:rsid w:val="002209A9"/>
    <w:rsid w:val="00230184"/>
    <w:rsid w:val="0023510D"/>
    <w:rsid w:val="00241442"/>
    <w:rsid w:val="00242795"/>
    <w:rsid w:val="00244015"/>
    <w:rsid w:val="00244511"/>
    <w:rsid w:val="00247534"/>
    <w:rsid w:val="00256CA2"/>
    <w:rsid w:val="00261BC8"/>
    <w:rsid w:val="00266BAC"/>
    <w:rsid w:val="002670F1"/>
    <w:rsid w:val="00277897"/>
    <w:rsid w:val="002866A6"/>
    <w:rsid w:val="00287D56"/>
    <w:rsid w:val="002A0FC4"/>
    <w:rsid w:val="002B03BB"/>
    <w:rsid w:val="002B16FD"/>
    <w:rsid w:val="002B1D0C"/>
    <w:rsid w:val="002B2FB4"/>
    <w:rsid w:val="002B66F2"/>
    <w:rsid w:val="002B7451"/>
    <w:rsid w:val="002C476E"/>
    <w:rsid w:val="002D494E"/>
    <w:rsid w:val="002E00B9"/>
    <w:rsid w:val="002E0B85"/>
    <w:rsid w:val="002E4412"/>
    <w:rsid w:val="002E5A8B"/>
    <w:rsid w:val="002E615D"/>
    <w:rsid w:val="002F279B"/>
    <w:rsid w:val="00300904"/>
    <w:rsid w:val="003064FB"/>
    <w:rsid w:val="0031316B"/>
    <w:rsid w:val="00313A31"/>
    <w:rsid w:val="00316BEC"/>
    <w:rsid w:val="00327BCE"/>
    <w:rsid w:val="003360E4"/>
    <w:rsid w:val="00336FD2"/>
    <w:rsid w:val="003413B0"/>
    <w:rsid w:val="00351465"/>
    <w:rsid w:val="0035485F"/>
    <w:rsid w:val="00360E11"/>
    <w:rsid w:val="003622FB"/>
    <w:rsid w:val="00366334"/>
    <w:rsid w:val="0036724E"/>
    <w:rsid w:val="00367461"/>
    <w:rsid w:val="003709F8"/>
    <w:rsid w:val="003721F0"/>
    <w:rsid w:val="00376F8E"/>
    <w:rsid w:val="003779B1"/>
    <w:rsid w:val="00390EC4"/>
    <w:rsid w:val="0039121B"/>
    <w:rsid w:val="003A3B52"/>
    <w:rsid w:val="003B670C"/>
    <w:rsid w:val="003B7E57"/>
    <w:rsid w:val="003D0304"/>
    <w:rsid w:val="003D33B4"/>
    <w:rsid w:val="003E0A0D"/>
    <w:rsid w:val="003E137D"/>
    <w:rsid w:val="003E3985"/>
    <w:rsid w:val="003E5F7F"/>
    <w:rsid w:val="003F6815"/>
    <w:rsid w:val="004001C3"/>
    <w:rsid w:val="00401CE7"/>
    <w:rsid w:val="00407148"/>
    <w:rsid w:val="00412DE5"/>
    <w:rsid w:val="00413C5F"/>
    <w:rsid w:val="00420279"/>
    <w:rsid w:val="004253DC"/>
    <w:rsid w:val="0042568B"/>
    <w:rsid w:val="00425EF1"/>
    <w:rsid w:val="00426515"/>
    <w:rsid w:val="004329EC"/>
    <w:rsid w:val="00441D9F"/>
    <w:rsid w:val="00442BA4"/>
    <w:rsid w:val="004452F8"/>
    <w:rsid w:val="00445335"/>
    <w:rsid w:val="00447495"/>
    <w:rsid w:val="004602D7"/>
    <w:rsid w:val="00462354"/>
    <w:rsid w:val="00466185"/>
    <w:rsid w:val="00467BF1"/>
    <w:rsid w:val="00470C1B"/>
    <w:rsid w:val="0047238F"/>
    <w:rsid w:val="00476323"/>
    <w:rsid w:val="00480D67"/>
    <w:rsid w:val="004817C7"/>
    <w:rsid w:val="00491D61"/>
    <w:rsid w:val="004A4E22"/>
    <w:rsid w:val="004A5774"/>
    <w:rsid w:val="004A6542"/>
    <w:rsid w:val="004A7507"/>
    <w:rsid w:val="004B19A3"/>
    <w:rsid w:val="004C0527"/>
    <w:rsid w:val="004C0717"/>
    <w:rsid w:val="004C3390"/>
    <w:rsid w:val="004C50E3"/>
    <w:rsid w:val="004C5560"/>
    <w:rsid w:val="004C6FDE"/>
    <w:rsid w:val="004C7A7C"/>
    <w:rsid w:val="004D6A3C"/>
    <w:rsid w:val="004D7190"/>
    <w:rsid w:val="004E1EDF"/>
    <w:rsid w:val="004E4BD9"/>
    <w:rsid w:val="004E56AB"/>
    <w:rsid w:val="004F18AE"/>
    <w:rsid w:val="004F5A73"/>
    <w:rsid w:val="004F624F"/>
    <w:rsid w:val="00501566"/>
    <w:rsid w:val="005068C9"/>
    <w:rsid w:val="00507864"/>
    <w:rsid w:val="005135A5"/>
    <w:rsid w:val="00514627"/>
    <w:rsid w:val="00517F28"/>
    <w:rsid w:val="00521A6E"/>
    <w:rsid w:val="00523C09"/>
    <w:rsid w:val="00526562"/>
    <w:rsid w:val="00530339"/>
    <w:rsid w:val="0053627A"/>
    <w:rsid w:val="00545919"/>
    <w:rsid w:val="00546481"/>
    <w:rsid w:val="00547C44"/>
    <w:rsid w:val="00554C96"/>
    <w:rsid w:val="005552FD"/>
    <w:rsid w:val="00564D9C"/>
    <w:rsid w:val="0056529C"/>
    <w:rsid w:val="00566D49"/>
    <w:rsid w:val="00571D89"/>
    <w:rsid w:val="00572717"/>
    <w:rsid w:val="00576369"/>
    <w:rsid w:val="00576423"/>
    <w:rsid w:val="00595DD3"/>
    <w:rsid w:val="005A114A"/>
    <w:rsid w:val="005A1D27"/>
    <w:rsid w:val="005A43DA"/>
    <w:rsid w:val="005A625C"/>
    <w:rsid w:val="005B0360"/>
    <w:rsid w:val="005B2591"/>
    <w:rsid w:val="005C273C"/>
    <w:rsid w:val="005D7AEE"/>
    <w:rsid w:val="005F2715"/>
    <w:rsid w:val="005F748A"/>
    <w:rsid w:val="005F784A"/>
    <w:rsid w:val="0060038E"/>
    <w:rsid w:val="00600480"/>
    <w:rsid w:val="006046A3"/>
    <w:rsid w:val="006101C4"/>
    <w:rsid w:val="0061338A"/>
    <w:rsid w:val="00621982"/>
    <w:rsid w:val="00622C8C"/>
    <w:rsid w:val="00624901"/>
    <w:rsid w:val="00631D94"/>
    <w:rsid w:val="00632D46"/>
    <w:rsid w:val="00636AE7"/>
    <w:rsid w:val="00636B9E"/>
    <w:rsid w:val="00637451"/>
    <w:rsid w:val="00642916"/>
    <w:rsid w:val="006463BD"/>
    <w:rsid w:val="006466EF"/>
    <w:rsid w:val="00652AEB"/>
    <w:rsid w:val="00654FFA"/>
    <w:rsid w:val="00655772"/>
    <w:rsid w:val="00663908"/>
    <w:rsid w:val="00663AF8"/>
    <w:rsid w:val="0066728B"/>
    <w:rsid w:val="0067021D"/>
    <w:rsid w:val="0068256D"/>
    <w:rsid w:val="00684F6C"/>
    <w:rsid w:val="006914E6"/>
    <w:rsid w:val="0069178D"/>
    <w:rsid w:val="00694838"/>
    <w:rsid w:val="0069752A"/>
    <w:rsid w:val="00697EFB"/>
    <w:rsid w:val="006A0884"/>
    <w:rsid w:val="006A3D8A"/>
    <w:rsid w:val="006A5415"/>
    <w:rsid w:val="006B187E"/>
    <w:rsid w:val="006B45AD"/>
    <w:rsid w:val="006B5E6D"/>
    <w:rsid w:val="006C1859"/>
    <w:rsid w:val="006C2AAA"/>
    <w:rsid w:val="006C6404"/>
    <w:rsid w:val="006C6CD5"/>
    <w:rsid w:val="006D1B52"/>
    <w:rsid w:val="006E5795"/>
    <w:rsid w:val="006F07F7"/>
    <w:rsid w:val="006F1A7A"/>
    <w:rsid w:val="006F1C09"/>
    <w:rsid w:val="006F21F8"/>
    <w:rsid w:val="006F3398"/>
    <w:rsid w:val="006F5F8B"/>
    <w:rsid w:val="00700981"/>
    <w:rsid w:val="00701F6B"/>
    <w:rsid w:val="00706EF1"/>
    <w:rsid w:val="00707239"/>
    <w:rsid w:val="00710724"/>
    <w:rsid w:val="0071105B"/>
    <w:rsid w:val="0071245C"/>
    <w:rsid w:val="00716200"/>
    <w:rsid w:val="0072714A"/>
    <w:rsid w:val="00732DD4"/>
    <w:rsid w:val="00734EA7"/>
    <w:rsid w:val="00740535"/>
    <w:rsid w:val="00741402"/>
    <w:rsid w:val="007427C8"/>
    <w:rsid w:val="00742EC9"/>
    <w:rsid w:val="00746AA3"/>
    <w:rsid w:val="007574BB"/>
    <w:rsid w:val="00760431"/>
    <w:rsid w:val="00761262"/>
    <w:rsid w:val="00761464"/>
    <w:rsid w:val="0076149C"/>
    <w:rsid w:val="00766E83"/>
    <w:rsid w:val="00771386"/>
    <w:rsid w:val="00776EC1"/>
    <w:rsid w:val="007775CE"/>
    <w:rsid w:val="00785E3A"/>
    <w:rsid w:val="00786155"/>
    <w:rsid w:val="007869F8"/>
    <w:rsid w:val="00791C88"/>
    <w:rsid w:val="00792D04"/>
    <w:rsid w:val="007940FA"/>
    <w:rsid w:val="007945A0"/>
    <w:rsid w:val="00795882"/>
    <w:rsid w:val="0079746E"/>
    <w:rsid w:val="007A43BF"/>
    <w:rsid w:val="007A646E"/>
    <w:rsid w:val="007A6D0B"/>
    <w:rsid w:val="007B357F"/>
    <w:rsid w:val="007B75B3"/>
    <w:rsid w:val="007C4897"/>
    <w:rsid w:val="007C5205"/>
    <w:rsid w:val="007C5DEE"/>
    <w:rsid w:val="007C6DA0"/>
    <w:rsid w:val="007C71EC"/>
    <w:rsid w:val="007D210E"/>
    <w:rsid w:val="007D239B"/>
    <w:rsid w:val="007D4729"/>
    <w:rsid w:val="007D5946"/>
    <w:rsid w:val="007E10ED"/>
    <w:rsid w:val="007E5A97"/>
    <w:rsid w:val="007E6D00"/>
    <w:rsid w:val="007E7587"/>
    <w:rsid w:val="007F0A7A"/>
    <w:rsid w:val="007F5BD3"/>
    <w:rsid w:val="0080524B"/>
    <w:rsid w:val="0080649F"/>
    <w:rsid w:val="00806EB6"/>
    <w:rsid w:val="00815455"/>
    <w:rsid w:val="00820601"/>
    <w:rsid w:val="008214C9"/>
    <w:rsid w:val="00823669"/>
    <w:rsid w:val="00824186"/>
    <w:rsid w:val="00833594"/>
    <w:rsid w:val="00834848"/>
    <w:rsid w:val="00837CB2"/>
    <w:rsid w:val="00846369"/>
    <w:rsid w:val="00854054"/>
    <w:rsid w:val="00855224"/>
    <w:rsid w:val="00856D73"/>
    <w:rsid w:val="008613B8"/>
    <w:rsid w:val="00872202"/>
    <w:rsid w:val="008845CF"/>
    <w:rsid w:val="00893544"/>
    <w:rsid w:val="00896015"/>
    <w:rsid w:val="008965C6"/>
    <w:rsid w:val="008A2933"/>
    <w:rsid w:val="008A2A86"/>
    <w:rsid w:val="008B6484"/>
    <w:rsid w:val="008C153C"/>
    <w:rsid w:val="008C4CB0"/>
    <w:rsid w:val="008D2B3B"/>
    <w:rsid w:val="008D4A18"/>
    <w:rsid w:val="008F135E"/>
    <w:rsid w:val="008F190D"/>
    <w:rsid w:val="008F51A3"/>
    <w:rsid w:val="008F7289"/>
    <w:rsid w:val="00903914"/>
    <w:rsid w:val="00904988"/>
    <w:rsid w:val="00912E82"/>
    <w:rsid w:val="00914E12"/>
    <w:rsid w:val="009240EC"/>
    <w:rsid w:val="0092635B"/>
    <w:rsid w:val="009327EB"/>
    <w:rsid w:val="00941C51"/>
    <w:rsid w:val="009428C4"/>
    <w:rsid w:val="00947B35"/>
    <w:rsid w:val="00951C15"/>
    <w:rsid w:val="00951D6D"/>
    <w:rsid w:val="00962559"/>
    <w:rsid w:val="0096783D"/>
    <w:rsid w:val="00972FDB"/>
    <w:rsid w:val="0097473F"/>
    <w:rsid w:val="009832EB"/>
    <w:rsid w:val="009839F2"/>
    <w:rsid w:val="00983F39"/>
    <w:rsid w:val="009876FF"/>
    <w:rsid w:val="009878F6"/>
    <w:rsid w:val="00992384"/>
    <w:rsid w:val="00992B79"/>
    <w:rsid w:val="009933D2"/>
    <w:rsid w:val="009966C0"/>
    <w:rsid w:val="009A3453"/>
    <w:rsid w:val="009A4C31"/>
    <w:rsid w:val="009A601C"/>
    <w:rsid w:val="009B0164"/>
    <w:rsid w:val="009B06C3"/>
    <w:rsid w:val="009B577F"/>
    <w:rsid w:val="009C355E"/>
    <w:rsid w:val="009C7D58"/>
    <w:rsid w:val="009D1017"/>
    <w:rsid w:val="009E6599"/>
    <w:rsid w:val="009E6D3C"/>
    <w:rsid w:val="009E6E5A"/>
    <w:rsid w:val="009F01C4"/>
    <w:rsid w:val="009F0EB6"/>
    <w:rsid w:val="009F1443"/>
    <w:rsid w:val="009F29D2"/>
    <w:rsid w:val="009F5B75"/>
    <w:rsid w:val="009F6AC8"/>
    <w:rsid w:val="00A02016"/>
    <w:rsid w:val="00A021A3"/>
    <w:rsid w:val="00A02DBE"/>
    <w:rsid w:val="00A12D2C"/>
    <w:rsid w:val="00A2171B"/>
    <w:rsid w:val="00A22700"/>
    <w:rsid w:val="00A2718D"/>
    <w:rsid w:val="00A31065"/>
    <w:rsid w:val="00A33038"/>
    <w:rsid w:val="00A4259B"/>
    <w:rsid w:val="00A45462"/>
    <w:rsid w:val="00A45A6A"/>
    <w:rsid w:val="00A46E28"/>
    <w:rsid w:val="00A5059D"/>
    <w:rsid w:val="00A528FE"/>
    <w:rsid w:val="00A540B1"/>
    <w:rsid w:val="00A57BEB"/>
    <w:rsid w:val="00A60313"/>
    <w:rsid w:val="00A70ED5"/>
    <w:rsid w:val="00A776A8"/>
    <w:rsid w:val="00A82A19"/>
    <w:rsid w:val="00A864BC"/>
    <w:rsid w:val="00A87637"/>
    <w:rsid w:val="00A91B0D"/>
    <w:rsid w:val="00A94F07"/>
    <w:rsid w:val="00A95584"/>
    <w:rsid w:val="00AA2A8D"/>
    <w:rsid w:val="00AA37B3"/>
    <w:rsid w:val="00AA6CD2"/>
    <w:rsid w:val="00AA7436"/>
    <w:rsid w:val="00AB138D"/>
    <w:rsid w:val="00AB1C59"/>
    <w:rsid w:val="00AB2DF2"/>
    <w:rsid w:val="00AC4A60"/>
    <w:rsid w:val="00AC53EE"/>
    <w:rsid w:val="00AC5667"/>
    <w:rsid w:val="00AC6CC5"/>
    <w:rsid w:val="00AC6D55"/>
    <w:rsid w:val="00AD66E8"/>
    <w:rsid w:val="00AD75C8"/>
    <w:rsid w:val="00AE305F"/>
    <w:rsid w:val="00AE4E84"/>
    <w:rsid w:val="00AE5FE4"/>
    <w:rsid w:val="00AE65B9"/>
    <w:rsid w:val="00AE6A99"/>
    <w:rsid w:val="00AE7007"/>
    <w:rsid w:val="00AF00EF"/>
    <w:rsid w:val="00AF16FE"/>
    <w:rsid w:val="00AF273C"/>
    <w:rsid w:val="00AF29EF"/>
    <w:rsid w:val="00AF508C"/>
    <w:rsid w:val="00AF7E4F"/>
    <w:rsid w:val="00B078E0"/>
    <w:rsid w:val="00B114E7"/>
    <w:rsid w:val="00B14117"/>
    <w:rsid w:val="00B145C9"/>
    <w:rsid w:val="00B24B1C"/>
    <w:rsid w:val="00B37625"/>
    <w:rsid w:val="00B46DA5"/>
    <w:rsid w:val="00B65A11"/>
    <w:rsid w:val="00B722A5"/>
    <w:rsid w:val="00B74DA1"/>
    <w:rsid w:val="00B74DCE"/>
    <w:rsid w:val="00B759DE"/>
    <w:rsid w:val="00B81D10"/>
    <w:rsid w:val="00B83EA0"/>
    <w:rsid w:val="00B84560"/>
    <w:rsid w:val="00B91518"/>
    <w:rsid w:val="00BA026C"/>
    <w:rsid w:val="00BA141A"/>
    <w:rsid w:val="00BB1399"/>
    <w:rsid w:val="00BB49BC"/>
    <w:rsid w:val="00BC1C76"/>
    <w:rsid w:val="00BD3B14"/>
    <w:rsid w:val="00BD5377"/>
    <w:rsid w:val="00BD61C4"/>
    <w:rsid w:val="00BE1A0E"/>
    <w:rsid w:val="00BE287E"/>
    <w:rsid w:val="00BE2D21"/>
    <w:rsid w:val="00BE57C6"/>
    <w:rsid w:val="00BE6EB8"/>
    <w:rsid w:val="00BE7A57"/>
    <w:rsid w:val="00BF353C"/>
    <w:rsid w:val="00BF6EED"/>
    <w:rsid w:val="00C02486"/>
    <w:rsid w:val="00C02CBF"/>
    <w:rsid w:val="00C03483"/>
    <w:rsid w:val="00C3070D"/>
    <w:rsid w:val="00C4314E"/>
    <w:rsid w:val="00C433C8"/>
    <w:rsid w:val="00C43C15"/>
    <w:rsid w:val="00C55849"/>
    <w:rsid w:val="00C60530"/>
    <w:rsid w:val="00C63190"/>
    <w:rsid w:val="00C63670"/>
    <w:rsid w:val="00C66697"/>
    <w:rsid w:val="00C67933"/>
    <w:rsid w:val="00C67CD4"/>
    <w:rsid w:val="00C718FB"/>
    <w:rsid w:val="00C87656"/>
    <w:rsid w:val="00C92AEE"/>
    <w:rsid w:val="00C9337E"/>
    <w:rsid w:val="00CA599D"/>
    <w:rsid w:val="00CB1A06"/>
    <w:rsid w:val="00CB3FC4"/>
    <w:rsid w:val="00CC6EE3"/>
    <w:rsid w:val="00CC7410"/>
    <w:rsid w:val="00CD710B"/>
    <w:rsid w:val="00CE3139"/>
    <w:rsid w:val="00CF06D5"/>
    <w:rsid w:val="00CF0C0B"/>
    <w:rsid w:val="00CF4BF8"/>
    <w:rsid w:val="00D116C2"/>
    <w:rsid w:val="00D12657"/>
    <w:rsid w:val="00D12A11"/>
    <w:rsid w:val="00D12E80"/>
    <w:rsid w:val="00D14388"/>
    <w:rsid w:val="00D15111"/>
    <w:rsid w:val="00D21FF3"/>
    <w:rsid w:val="00D224AF"/>
    <w:rsid w:val="00D313C7"/>
    <w:rsid w:val="00D34610"/>
    <w:rsid w:val="00D35962"/>
    <w:rsid w:val="00D52DF7"/>
    <w:rsid w:val="00D5463D"/>
    <w:rsid w:val="00D602A9"/>
    <w:rsid w:val="00D614E5"/>
    <w:rsid w:val="00D6414E"/>
    <w:rsid w:val="00D83667"/>
    <w:rsid w:val="00D918B0"/>
    <w:rsid w:val="00DA500B"/>
    <w:rsid w:val="00DA5765"/>
    <w:rsid w:val="00DA594C"/>
    <w:rsid w:val="00DA76C5"/>
    <w:rsid w:val="00DA7891"/>
    <w:rsid w:val="00DB05ED"/>
    <w:rsid w:val="00DB3597"/>
    <w:rsid w:val="00DB6836"/>
    <w:rsid w:val="00DC1F2B"/>
    <w:rsid w:val="00DC3738"/>
    <w:rsid w:val="00DC5635"/>
    <w:rsid w:val="00DC6532"/>
    <w:rsid w:val="00DC6867"/>
    <w:rsid w:val="00DC6A5A"/>
    <w:rsid w:val="00DD3263"/>
    <w:rsid w:val="00DD3B48"/>
    <w:rsid w:val="00DE02F8"/>
    <w:rsid w:val="00DE5479"/>
    <w:rsid w:val="00DF1B69"/>
    <w:rsid w:val="00E13057"/>
    <w:rsid w:val="00E14DEA"/>
    <w:rsid w:val="00E21254"/>
    <w:rsid w:val="00E23E5A"/>
    <w:rsid w:val="00E252AB"/>
    <w:rsid w:val="00E30078"/>
    <w:rsid w:val="00E31710"/>
    <w:rsid w:val="00E34788"/>
    <w:rsid w:val="00E365EC"/>
    <w:rsid w:val="00E4269B"/>
    <w:rsid w:val="00E61501"/>
    <w:rsid w:val="00E61781"/>
    <w:rsid w:val="00E62CC1"/>
    <w:rsid w:val="00E62FF6"/>
    <w:rsid w:val="00E66497"/>
    <w:rsid w:val="00E67BB7"/>
    <w:rsid w:val="00E70549"/>
    <w:rsid w:val="00E7179B"/>
    <w:rsid w:val="00E74B27"/>
    <w:rsid w:val="00E75C2E"/>
    <w:rsid w:val="00E87C3F"/>
    <w:rsid w:val="00E938A0"/>
    <w:rsid w:val="00E95870"/>
    <w:rsid w:val="00E97BA2"/>
    <w:rsid w:val="00EA18A6"/>
    <w:rsid w:val="00EA2B2F"/>
    <w:rsid w:val="00EA4EC8"/>
    <w:rsid w:val="00EA567A"/>
    <w:rsid w:val="00EA6679"/>
    <w:rsid w:val="00EA67BA"/>
    <w:rsid w:val="00EB308D"/>
    <w:rsid w:val="00EB3474"/>
    <w:rsid w:val="00EC02D9"/>
    <w:rsid w:val="00EC3BFE"/>
    <w:rsid w:val="00ED06E7"/>
    <w:rsid w:val="00ED2A76"/>
    <w:rsid w:val="00ED38C7"/>
    <w:rsid w:val="00ED4F64"/>
    <w:rsid w:val="00ED6686"/>
    <w:rsid w:val="00EE226A"/>
    <w:rsid w:val="00EE559A"/>
    <w:rsid w:val="00EE6031"/>
    <w:rsid w:val="00EE69A4"/>
    <w:rsid w:val="00F1470A"/>
    <w:rsid w:val="00F210AA"/>
    <w:rsid w:val="00F24908"/>
    <w:rsid w:val="00F31B0D"/>
    <w:rsid w:val="00F32017"/>
    <w:rsid w:val="00F32508"/>
    <w:rsid w:val="00F325B1"/>
    <w:rsid w:val="00F41DD3"/>
    <w:rsid w:val="00F47359"/>
    <w:rsid w:val="00F63C52"/>
    <w:rsid w:val="00F652AD"/>
    <w:rsid w:val="00F74D62"/>
    <w:rsid w:val="00F77691"/>
    <w:rsid w:val="00F813B1"/>
    <w:rsid w:val="00F81A9D"/>
    <w:rsid w:val="00F829CE"/>
    <w:rsid w:val="00F849D2"/>
    <w:rsid w:val="00F91119"/>
    <w:rsid w:val="00F961CE"/>
    <w:rsid w:val="00FA039E"/>
    <w:rsid w:val="00FA1345"/>
    <w:rsid w:val="00FA142C"/>
    <w:rsid w:val="00FA5AB9"/>
    <w:rsid w:val="00FB770A"/>
    <w:rsid w:val="00FB77BD"/>
    <w:rsid w:val="00FB792A"/>
    <w:rsid w:val="00FC0179"/>
    <w:rsid w:val="00FD3183"/>
    <w:rsid w:val="00FD7EE6"/>
    <w:rsid w:val="00FE34D2"/>
    <w:rsid w:val="00FE669A"/>
    <w:rsid w:val="00FE6A08"/>
    <w:rsid w:val="00FF1E5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6145"/>
    <o:shapelayout v:ext="edit">
      <o:idmap v:ext="edit" data="1"/>
    </o:shapelayout>
  </w:shapeDefaults>
  <w:decimalSymbol w:val="."/>
  <w:listSeparator w:val=","/>
  <w14:docId w14:val="23CC99A5"/>
  <w15:docId w15:val="{786A5146-ABD4-4A93-A494-8DC9EE566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CEGAIP"/>
    <w:rsid w:val="00547C44"/>
    <w:pPr>
      <w:spacing w:after="0" w:line="360" w:lineRule="auto"/>
      <w:jc w:val="both"/>
    </w:pPr>
    <w:rPr>
      <w:rFonts w:cs="Times New Roman"/>
      <w:sz w:val="26"/>
      <w:szCs w:val="24"/>
      <w:lang w:val="es-ES" w:eastAsia="es-ES"/>
    </w:rPr>
  </w:style>
  <w:style w:type="paragraph" w:styleId="Ttulo1">
    <w:name w:val="heading 1"/>
    <w:aliases w:val="cita"/>
    <w:basedOn w:val="Normal"/>
    <w:next w:val="Normal"/>
    <w:link w:val="Ttulo1Car"/>
    <w:autoRedefine/>
    <w:qFormat/>
    <w:rsid w:val="005B2591"/>
    <w:pPr>
      <w:keepNext/>
      <w:outlineLvl w:val="0"/>
    </w:pPr>
    <w:rPr>
      <w:rFonts w:cs="Arial"/>
      <w:bCs/>
      <w:i/>
      <w:kern w:val="32"/>
      <w:sz w:val="2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cita Car"/>
    <w:basedOn w:val="Fuentedeprrafopredeter"/>
    <w:link w:val="Ttulo1"/>
    <w:rsid w:val="005B2591"/>
    <w:rPr>
      <w:rFonts w:eastAsia="Times New Roman" w:cs="Arial"/>
      <w:bCs/>
      <w:i/>
      <w:kern w:val="32"/>
      <w:szCs w:val="32"/>
      <w:lang w:val="es-ES" w:eastAsia="es-ES"/>
    </w:rPr>
  </w:style>
  <w:style w:type="table" w:styleId="Tablaconcuadrcula">
    <w:name w:val="Table Grid"/>
    <w:basedOn w:val="Tablanormal"/>
    <w:uiPriority w:val="59"/>
    <w:rsid w:val="00547C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547C44"/>
    <w:pPr>
      <w:spacing w:after="120"/>
    </w:pPr>
  </w:style>
  <w:style w:type="character" w:customStyle="1" w:styleId="TextoindependienteCar">
    <w:name w:val="Texto independiente Car"/>
    <w:basedOn w:val="Fuentedeprrafopredeter"/>
    <w:link w:val="Textoindependiente"/>
    <w:uiPriority w:val="99"/>
    <w:semiHidden/>
    <w:rsid w:val="00547C44"/>
    <w:rPr>
      <w:rFonts w:cs="Times New Roman"/>
      <w:sz w:val="26"/>
      <w:szCs w:val="24"/>
      <w:lang w:val="es-ES" w:eastAsia="es-ES"/>
    </w:rPr>
  </w:style>
  <w:style w:type="paragraph" w:styleId="Textoindependienteprimerasangra">
    <w:name w:val="Body Text First Indent"/>
    <w:basedOn w:val="Textoindependiente"/>
    <w:link w:val="TextoindependienteprimerasangraCar"/>
    <w:rsid w:val="00547C44"/>
    <w:pPr>
      <w:ind w:firstLine="210"/>
    </w:pPr>
  </w:style>
  <w:style w:type="character" w:customStyle="1" w:styleId="TextoindependienteprimerasangraCar">
    <w:name w:val="Texto independiente primera sangría Car"/>
    <w:basedOn w:val="TextoindependienteCar"/>
    <w:link w:val="Textoindependienteprimerasangra"/>
    <w:rsid w:val="00547C44"/>
    <w:rPr>
      <w:rFonts w:cs="Times New Roman"/>
      <w:sz w:val="26"/>
      <w:szCs w:val="24"/>
      <w:lang w:val="es-ES" w:eastAsia="es-ES"/>
    </w:rPr>
  </w:style>
  <w:style w:type="paragraph" w:styleId="Prrafodelista">
    <w:name w:val="List Paragraph"/>
    <w:basedOn w:val="Normal"/>
    <w:uiPriority w:val="34"/>
    <w:qFormat/>
    <w:rsid w:val="00547C44"/>
    <w:pPr>
      <w:ind w:left="720"/>
      <w:contextualSpacing/>
    </w:pPr>
  </w:style>
  <w:style w:type="character" w:styleId="Hipervnculo">
    <w:name w:val="Hyperlink"/>
    <w:basedOn w:val="Fuentedeprrafopredeter"/>
    <w:uiPriority w:val="99"/>
    <w:unhideWhenUsed/>
    <w:rsid w:val="00547C44"/>
    <w:rPr>
      <w:color w:val="0000FF" w:themeColor="hyperlink"/>
      <w:u w:val="single"/>
    </w:rPr>
  </w:style>
  <w:style w:type="paragraph" w:styleId="NormalWeb">
    <w:name w:val="Normal (Web)"/>
    <w:basedOn w:val="Normal"/>
    <w:uiPriority w:val="99"/>
    <w:rsid w:val="00190533"/>
    <w:pPr>
      <w:spacing w:before="100" w:beforeAutospacing="1" w:after="100" w:afterAutospacing="1" w:line="240" w:lineRule="auto"/>
      <w:jc w:val="left"/>
    </w:pPr>
    <w:rPr>
      <w:rFonts w:ascii="Times New Roman" w:hAnsi="Times New Roman"/>
      <w:sz w:val="24"/>
    </w:rPr>
  </w:style>
  <w:style w:type="paragraph" w:customStyle="1" w:styleId="texto">
    <w:name w:val="texto"/>
    <w:basedOn w:val="Normal"/>
    <w:rsid w:val="00190533"/>
    <w:pPr>
      <w:spacing w:before="100" w:beforeAutospacing="1" w:after="100" w:afterAutospacing="1" w:line="240" w:lineRule="auto"/>
      <w:jc w:val="left"/>
    </w:pPr>
    <w:rPr>
      <w:rFonts w:ascii="Times New Roman" w:hAnsi="Times New Roman"/>
      <w:sz w:val="24"/>
      <w:lang w:val="es-MX" w:eastAsia="es-MX"/>
    </w:rPr>
  </w:style>
  <w:style w:type="character" w:customStyle="1" w:styleId="apple-converted-space">
    <w:name w:val="apple-converted-space"/>
    <w:basedOn w:val="Fuentedeprrafopredeter"/>
    <w:rsid w:val="00190533"/>
  </w:style>
  <w:style w:type="paragraph" w:styleId="Encabezado">
    <w:name w:val="header"/>
    <w:basedOn w:val="Normal"/>
    <w:link w:val="EncabezadoCar"/>
    <w:uiPriority w:val="99"/>
    <w:unhideWhenUsed/>
    <w:rsid w:val="00EE69A4"/>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EE69A4"/>
    <w:rPr>
      <w:rFonts w:cs="Times New Roman"/>
      <w:sz w:val="26"/>
      <w:szCs w:val="24"/>
      <w:lang w:val="es-ES" w:eastAsia="es-ES"/>
    </w:rPr>
  </w:style>
  <w:style w:type="paragraph" w:styleId="Piedepgina">
    <w:name w:val="footer"/>
    <w:basedOn w:val="Normal"/>
    <w:link w:val="PiedepginaCar"/>
    <w:uiPriority w:val="99"/>
    <w:unhideWhenUsed/>
    <w:rsid w:val="00EE69A4"/>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EE69A4"/>
    <w:rPr>
      <w:rFonts w:cs="Times New Roman"/>
      <w:sz w:val="26"/>
      <w:szCs w:val="24"/>
      <w:lang w:val="es-ES" w:eastAsia="es-ES"/>
    </w:rPr>
  </w:style>
  <w:style w:type="paragraph" w:styleId="Textodeglobo">
    <w:name w:val="Balloon Text"/>
    <w:basedOn w:val="Normal"/>
    <w:link w:val="TextodegloboCar"/>
    <w:uiPriority w:val="99"/>
    <w:semiHidden/>
    <w:unhideWhenUsed/>
    <w:rsid w:val="004C50E3"/>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C50E3"/>
    <w:rPr>
      <w:rFonts w:ascii="Tahoma" w:hAnsi="Tahoma" w:cs="Tahoma"/>
      <w:sz w:val="16"/>
      <w:szCs w:val="16"/>
      <w:lang w:val="es-ES" w:eastAsia="es-ES"/>
    </w:rPr>
  </w:style>
  <w:style w:type="paragraph" w:customStyle="1" w:styleId="Default">
    <w:name w:val="Default"/>
    <w:rsid w:val="006C1859"/>
    <w:pPr>
      <w:autoSpaceDE w:val="0"/>
      <w:autoSpaceDN w:val="0"/>
      <w:adjustRightInd w:val="0"/>
      <w:spacing w:after="0" w:line="240" w:lineRule="auto"/>
    </w:pPr>
    <w:rPr>
      <w:rFonts w:ascii="Arial" w:hAnsi="Arial" w:cs="Arial"/>
      <w:color w:val="000000"/>
      <w:sz w:val="24"/>
      <w:szCs w:val="24"/>
    </w:rPr>
  </w:style>
  <w:style w:type="paragraph" w:styleId="Mapadeldocumento">
    <w:name w:val="Document Map"/>
    <w:basedOn w:val="Normal"/>
    <w:link w:val="MapadeldocumentoCar"/>
    <w:uiPriority w:val="99"/>
    <w:semiHidden/>
    <w:unhideWhenUsed/>
    <w:rsid w:val="009428C4"/>
    <w:pPr>
      <w:spacing w:line="240" w:lineRule="auto"/>
    </w:pPr>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9428C4"/>
    <w:rPr>
      <w:rFonts w:ascii="Tahoma" w:hAnsi="Tahoma" w:cs="Tahoma"/>
      <w:sz w:val="16"/>
      <w:szCs w:val="16"/>
      <w:lang w:val="es-ES" w:eastAsia="es-ES"/>
    </w:rPr>
  </w:style>
  <w:style w:type="paragraph" w:styleId="Textonotapie">
    <w:name w:val="footnote text"/>
    <w:basedOn w:val="Normal"/>
    <w:link w:val="TextonotapieCar"/>
    <w:unhideWhenUsed/>
    <w:rsid w:val="000251CB"/>
    <w:pPr>
      <w:spacing w:line="240" w:lineRule="auto"/>
    </w:pPr>
    <w:rPr>
      <w:sz w:val="20"/>
      <w:szCs w:val="20"/>
    </w:rPr>
  </w:style>
  <w:style w:type="character" w:customStyle="1" w:styleId="TextonotapieCar">
    <w:name w:val="Texto nota pie Car"/>
    <w:basedOn w:val="Fuentedeprrafopredeter"/>
    <w:link w:val="Textonotapie"/>
    <w:rsid w:val="000251CB"/>
    <w:rPr>
      <w:rFonts w:cs="Times New Roman"/>
      <w:sz w:val="20"/>
      <w:szCs w:val="20"/>
      <w:lang w:val="es-ES" w:eastAsia="es-ES"/>
    </w:rPr>
  </w:style>
  <w:style w:type="character" w:styleId="Refdenotaalpie">
    <w:name w:val="footnote reference"/>
    <w:basedOn w:val="Fuentedeprrafopredeter"/>
    <w:unhideWhenUsed/>
    <w:rsid w:val="000251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14655">
      <w:bodyDiv w:val="1"/>
      <w:marLeft w:val="0"/>
      <w:marRight w:val="0"/>
      <w:marTop w:val="0"/>
      <w:marBottom w:val="0"/>
      <w:divBdr>
        <w:top w:val="none" w:sz="0" w:space="0" w:color="auto"/>
        <w:left w:val="none" w:sz="0" w:space="0" w:color="auto"/>
        <w:bottom w:val="none" w:sz="0" w:space="0" w:color="auto"/>
        <w:right w:val="none" w:sz="0" w:space="0" w:color="auto"/>
      </w:divBdr>
      <w:divsChild>
        <w:div w:id="1913999222">
          <w:marLeft w:val="547"/>
          <w:marRight w:val="0"/>
          <w:marTop w:val="0"/>
          <w:marBottom w:val="0"/>
          <w:divBdr>
            <w:top w:val="none" w:sz="0" w:space="0" w:color="auto"/>
            <w:left w:val="none" w:sz="0" w:space="0" w:color="auto"/>
            <w:bottom w:val="none" w:sz="0" w:space="0" w:color="auto"/>
            <w:right w:val="none" w:sz="0" w:space="0" w:color="auto"/>
          </w:divBdr>
        </w:div>
      </w:divsChild>
    </w:div>
    <w:div w:id="126170314">
      <w:bodyDiv w:val="1"/>
      <w:marLeft w:val="0"/>
      <w:marRight w:val="0"/>
      <w:marTop w:val="0"/>
      <w:marBottom w:val="0"/>
      <w:divBdr>
        <w:top w:val="none" w:sz="0" w:space="0" w:color="auto"/>
        <w:left w:val="none" w:sz="0" w:space="0" w:color="auto"/>
        <w:bottom w:val="none" w:sz="0" w:space="0" w:color="auto"/>
        <w:right w:val="none" w:sz="0" w:space="0" w:color="auto"/>
      </w:divBdr>
      <w:divsChild>
        <w:div w:id="1029915736">
          <w:marLeft w:val="547"/>
          <w:marRight w:val="0"/>
          <w:marTop w:val="0"/>
          <w:marBottom w:val="0"/>
          <w:divBdr>
            <w:top w:val="none" w:sz="0" w:space="0" w:color="auto"/>
            <w:left w:val="none" w:sz="0" w:space="0" w:color="auto"/>
            <w:bottom w:val="none" w:sz="0" w:space="0" w:color="auto"/>
            <w:right w:val="none" w:sz="0" w:space="0" w:color="auto"/>
          </w:divBdr>
        </w:div>
      </w:divsChild>
    </w:div>
    <w:div w:id="180241026">
      <w:bodyDiv w:val="1"/>
      <w:marLeft w:val="0"/>
      <w:marRight w:val="0"/>
      <w:marTop w:val="0"/>
      <w:marBottom w:val="0"/>
      <w:divBdr>
        <w:top w:val="none" w:sz="0" w:space="0" w:color="auto"/>
        <w:left w:val="none" w:sz="0" w:space="0" w:color="auto"/>
        <w:bottom w:val="none" w:sz="0" w:space="0" w:color="auto"/>
        <w:right w:val="none" w:sz="0" w:space="0" w:color="auto"/>
      </w:divBdr>
    </w:div>
    <w:div w:id="450512536">
      <w:bodyDiv w:val="1"/>
      <w:marLeft w:val="0"/>
      <w:marRight w:val="0"/>
      <w:marTop w:val="0"/>
      <w:marBottom w:val="0"/>
      <w:divBdr>
        <w:top w:val="none" w:sz="0" w:space="0" w:color="auto"/>
        <w:left w:val="none" w:sz="0" w:space="0" w:color="auto"/>
        <w:bottom w:val="none" w:sz="0" w:space="0" w:color="auto"/>
        <w:right w:val="none" w:sz="0" w:space="0" w:color="auto"/>
      </w:divBdr>
    </w:div>
    <w:div w:id="583271559">
      <w:bodyDiv w:val="1"/>
      <w:marLeft w:val="0"/>
      <w:marRight w:val="0"/>
      <w:marTop w:val="0"/>
      <w:marBottom w:val="0"/>
      <w:divBdr>
        <w:top w:val="none" w:sz="0" w:space="0" w:color="auto"/>
        <w:left w:val="none" w:sz="0" w:space="0" w:color="auto"/>
        <w:bottom w:val="none" w:sz="0" w:space="0" w:color="auto"/>
        <w:right w:val="none" w:sz="0" w:space="0" w:color="auto"/>
      </w:divBdr>
    </w:div>
    <w:div w:id="594485260">
      <w:bodyDiv w:val="1"/>
      <w:marLeft w:val="0"/>
      <w:marRight w:val="0"/>
      <w:marTop w:val="0"/>
      <w:marBottom w:val="0"/>
      <w:divBdr>
        <w:top w:val="none" w:sz="0" w:space="0" w:color="auto"/>
        <w:left w:val="none" w:sz="0" w:space="0" w:color="auto"/>
        <w:bottom w:val="none" w:sz="0" w:space="0" w:color="auto"/>
        <w:right w:val="none" w:sz="0" w:space="0" w:color="auto"/>
      </w:divBdr>
    </w:div>
    <w:div w:id="890268688">
      <w:bodyDiv w:val="1"/>
      <w:marLeft w:val="0"/>
      <w:marRight w:val="0"/>
      <w:marTop w:val="0"/>
      <w:marBottom w:val="0"/>
      <w:divBdr>
        <w:top w:val="none" w:sz="0" w:space="0" w:color="auto"/>
        <w:left w:val="none" w:sz="0" w:space="0" w:color="auto"/>
        <w:bottom w:val="none" w:sz="0" w:space="0" w:color="auto"/>
        <w:right w:val="none" w:sz="0" w:space="0" w:color="auto"/>
      </w:divBdr>
    </w:div>
    <w:div w:id="1294754298">
      <w:bodyDiv w:val="1"/>
      <w:marLeft w:val="0"/>
      <w:marRight w:val="0"/>
      <w:marTop w:val="0"/>
      <w:marBottom w:val="0"/>
      <w:divBdr>
        <w:top w:val="none" w:sz="0" w:space="0" w:color="auto"/>
        <w:left w:val="none" w:sz="0" w:space="0" w:color="auto"/>
        <w:bottom w:val="none" w:sz="0" w:space="0" w:color="auto"/>
        <w:right w:val="none" w:sz="0" w:space="0" w:color="auto"/>
      </w:divBdr>
    </w:div>
    <w:div w:id="1680617571">
      <w:bodyDiv w:val="1"/>
      <w:marLeft w:val="0"/>
      <w:marRight w:val="0"/>
      <w:marTop w:val="0"/>
      <w:marBottom w:val="0"/>
      <w:divBdr>
        <w:top w:val="none" w:sz="0" w:space="0" w:color="auto"/>
        <w:left w:val="none" w:sz="0" w:space="0" w:color="auto"/>
        <w:bottom w:val="none" w:sz="0" w:space="0" w:color="auto"/>
        <w:right w:val="none" w:sz="0" w:space="0" w:color="auto"/>
      </w:divBdr>
    </w:div>
    <w:div w:id="1977565254">
      <w:bodyDiv w:val="1"/>
      <w:marLeft w:val="0"/>
      <w:marRight w:val="0"/>
      <w:marTop w:val="0"/>
      <w:marBottom w:val="0"/>
      <w:divBdr>
        <w:top w:val="none" w:sz="0" w:space="0" w:color="auto"/>
        <w:left w:val="none" w:sz="0" w:space="0" w:color="auto"/>
        <w:bottom w:val="none" w:sz="0" w:space="0" w:color="auto"/>
        <w:right w:val="none" w:sz="0" w:space="0" w:color="auto"/>
      </w:divBdr>
    </w:div>
    <w:div w:id="198607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27A98D-6288-4963-AE55-DAE3A7030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12</Pages>
  <Words>3836</Words>
  <Characters>21104</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Servicio social</dc:creator>
  <cp:lastModifiedBy>Michelle Vazquez</cp:lastModifiedBy>
  <cp:revision>15</cp:revision>
  <cp:lastPrinted>2018-02-15T14:35:00Z</cp:lastPrinted>
  <dcterms:created xsi:type="dcterms:W3CDTF">2017-03-06T20:49:00Z</dcterms:created>
  <dcterms:modified xsi:type="dcterms:W3CDTF">2018-02-15T14:36:00Z</dcterms:modified>
</cp:coreProperties>
</file>